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E234A" w14:textId="0B09ABC4" w:rsidR="00870BC8" w:rsidRPr="00467B83" w:rsidRDefault="00077712" w:rsidP="00467B83">
      <w:pPr>
        <w:spacing w:line="360" w:lineRule="auto"/>
        <w:jc w:val="both"/>
        <w:rPr>
          <w:rFonts w:ascii="Garamond" w:hAnsi="Garamond" w:cs="Arial"/>
          <w:b/>
          <w:bCs/>
          <w:color w:val="000000"/>
          <w:sz w:val="28"/>
          <w:szCs w:val="28"/>
          <w:shd w:val="clear" w:color="auto" w:fill="FFFFFF"/>
        </w:rPr>
      </w:pPr>
      <w:proofErr w:type="spellStart"/>
      <w:r w:rsidRPr="00467B83">
        <w:rPr>
          <w:rFonts w:ascii="Garamond" w:hAnsi="Garamond" w:cs="Arial"/>
          <w:b/>
          <w:bCs/>
          <w:color w:val="000000"/>
          <w:sz w:val="28"/>
          <w:szCs w:val="28"/>
          <w:shd w:val="clear" w:color="auto" w:fill="FFFFFF"/>
        </w:rPr>
        <w:t>Expte</w:t>
      </w:r>
      <w:proofErr w:type="spellEnd"/>
      <w:r w:rsidRPr="00467B83">
        <w:rPr>
          <w:rFonts w:ascii="Garamond" w:hAnsi="Garamond" w:cs="Arial"/>
          <w:b/>
          <w:bCs/>
          <w:color w:val="000000"/>
          <w:sz w:val="28"/>
          <w:szCs w:val="28"/>
          <w:shd w:val="clear" w:color="auto" w:fill="FFFFFF"/>
        </w:rPr>
        <w:t xml:space="preserve">. </w:t>
      </w:r>
      <w:proofErr w:type="spellStart"/>
      <w:r w:rsidRPr="00467B83">
        <w:rPr>
          <w:rFonts w:ascii="Garamond" w:hAnsi="Garamond" w:cs="Arial"/>
          <w:b/>
          <w:bCs/>
          <w:color w:val="000000"/>
          <w:sz w:val="28"/>
          <w:szCs w:val="28"/>
          <w:shd w:val="clear" w:color="auto" w:fill="FFFFFF"/>
        </w:rPr>
        <w:t>n°</w:t>
      </w:r>
      <w:proofErr w:type="spellEnd"/>
      <w:r w:rsidRPr="00467B83">
        <w:rPr>
          <w:rFonts w:ascii="Garamond" w:hAnsi="Garamond" w:cs="Arial"/>
          <w:b/>
          <w:bCs/>
          <w:color w:val="000000"/>
          <w:sz w:val="28"/>
          <w:szCs w:val="28"/>
          <w:shd w:val="clear" w:color="auto" w:fill="FFFFFF"/>
        </w:rPr>
        <w:t>: JU-364-2022 LEIVA GASTON EMANNUEL C/ ANDREU MARZUOLO CARLOS MARCELO Y OTROS S/ RENDICION DE CUENTAS</w:t>
      </w:r>
    </w:p>
    <w:p w14:paraId="39B28EE9" w14:textId="4088AA09" w:rsidR="00077712" w:rsidRPr="00467B83" w:rsidRDefault="00077712" w:rsidP="00467B83">
      <w:pPr>
        <w:spacing w:line="360" w:lineRule="auto"/>
        <w:jc w:val="both"/>
        <w:rPr>
          <w:rFonts w:ascii="Garamond" w:hAnsi="Garamond" w:cs="Arial"/>
          <w:color w:val="000000"/>
          <w:sz w:val="28"/>
          <w:szCs w:val="28"/>
          <w:shd w:val="clear" w:color="auto" w:fill="FFFFFF"/>
        </w:rPr>
      </w:pPr>
      <w:r w:rsidRPr="00467B83">
        <w:rPr>
          <w:rFonts w:ascii="Garamond" w:hAnsi="Garamond" w:cs="Arial"/>
          <w:color w:val="000000"/>
          <w:sz w:val="28"/>
          <w:szCs w:val="28"/>
          <w:shd w:val="clear" w:color="auto" w:fill="FFFFFF"/>
        </w:rPr>
        <w:t>PLAZO DE PRESCRIPCION DE LA ACCION DE RENDICION DE CUENTAS. EL ACTOR PARA PODER ACCIONAR POR RENDICION DE CUENTAS TUVO QUE PROVAR SU CONDICION DE HIJO DEL CAUSANTE. VALOR DE RESERVA DE ACCIONAR POR RENDICION DE CUENTAS.</w:t>
      </w:r>
    </w:p>
    <w:p w14:paraId="6D59D919" w14:textId="6F446685" w:rsidR="00077712" w:rsidRPr="00467B83" w:rsidRDefault="00467B83" w:rsidP="00467B83">
      <w:pPr>
        <w:pStyle w:val="NormalWeb"/>
        <w:shd w:val="clear" w:color="auto" w:fill="FFFFFF"/>
        <w:spacing w:before="45" w:beforeAutospacing="0" w:after="160" w:afterAutospacing="0" w:line="360" w:lineRule="auto"/>
        <w:ind w:left="75" w:right="75" w:firstLine="1120"/>
        <w:jc w:val="both"/>
        <w:rPr>
          <w:rFonts w:ascii="Garamond" w:hAnsi="Garamond" w:cs="Calibri"/>
          <w:color w:val="000000"/>
          <w:sz w:val="28"/>
          <w:szCs w:val="28"/>
        </w:rPr>
      </w:pPr>
      <w:r w:rsidRPr="00467B83">
        <w:rPr>
          <w:rFonts w:ascii="Garamond" w:hAnsi="Garamond" w:cs="Arial"/>
          <w:color w:val="000000"/>
          <w:sz w:val="28"/>
          <w:szCs w:val="28"/>
        </w:rPr>
        <w:t>1) E</w:t>
      </w:r>
      <w:r w:rsidR="00077712" w:rsidRPr="00467B83">
        <w:rPr>
          <w:rFonts w:ascii="Garamond" w:hAnsi="Garamond" w:cs="Arial"/>
          <w:color w:val="000000"/>
          <w:sz w:val="28"/>
          <w:szCs w:val="28"/>
        </w:rPr>
        <w:t>l cómputo del plazo de prescripción comienza desde que la acción se encuentra expedita, es decir, cuando el derecho que la misma tutela pueda ser exigido a través de una pretensión demandable (art. 2554 CCyC).</w:t>
      </w:r>
    </w:p>
    <w:p w14:paraId="2AEA8EF7" w14:textId="3B6F7601" w:rsidR="00077712" w:rsidRPr="00467B83" w:rsidRDefault="00467B83" w:rsidP="00467B83">
      <w:pPr>
        <w:pStyle w:val="NormalWeb"/>
        <w:shd w:val="clear" w:color="auto" w:fill="FFFFFF"/>
        <w:spacing w:before="45" w:beforeAutospacing="0" w:after="160" w:afterAutospacing="0" w:line="360" w:lineRule="auto"/>
        <w:ind w:left="75" w:right="75" w:firstLine="1120"/>
        <w:jc w:val="both"/>
        <w:rPr>
          <w:rFonts w:ascii="Garamond" w:hAnsi="Garamond" w:cs="Calibri"/>
          <w:color w:val="000000"/>
          <w:sz w:val="28"/>
          <w:szCs w:val="28"/>
        </w:rPr>
      </w:pPr>
      <w:r w:rsidRPr="00467B83">
        <w:rPr>
          <w:rFonts w:ascii="Garamond" w:hAnsi="Garamond" w:cs="Arial"/>
          <w:color w:val="000000"/>
          <w:sz w:val="28"/>
          <w:szCs w:val="28"/>
        </w:rPr>
        <w:t xml:space="preserve">2) a) </w:t>
      </w:r>
      <w:proofErr w:type="gramStart"/>
      <w:r w:rsidRPr="00467B83">
        <w:rPr>
          <w:rFonts w:ascii="Garamond" w:hAnsi="Garamond" w:cs="Arial"/>
          <w:color w:val="000000"/>
          <w:sz w:val="28"/>
          <w:szCs w:val="28"/>
        </w:rPr>
        <w:t>En</w:t>
      </w:r>
      <w:r w:rsidR="00077712" w:rsidRPr="00467B83">
        <w:rPr>
          <w:rFonts w:ascii="Garamond" w:hAnsi="Garamond" w:cs="Arial"/>
          <w:color w:val="000000"/>
          <w:sz w:val="28"/>
          <w:szCs w:val="28"/>
        </w:rPr>
        <w:t xml:space="preserve"> relación a</w:t>
      </w:r>
      <w:proofErr w:type="gramEnd"/>
      <w:r w:rsidR="00077712" w:rsidRPr="00467B83">
        <w:rPr>
          <w:rFonts w:ascii="Garamond" w:hAnsi="Garamond" w:cs="Arial"/>
          <w:color w:val="000000"/>
          <w:sz w:val="28"/>
          <w:szCs w:val="28"/>
        </w:rPr>
        <w:t xml:space="preserve"> la acción encaminada a la adquisición proporcional de los frutos accesorios a los bienes indivisos (art. 2329 CCyC), el actor, para poder ejercerla, necesitó la previa determinación del estado de hijo del causante, emplazamiento que requirió ineludiblemente una sentencia que así lo declare y, consiguientemente, lo invista de pleno derecho en el carácter de heredero (arts. 2280 y 2337 CCyC).</w:t>
      </w:r>
    </w:p>
    <w:p w14:paraId="6A7CD233" w14:textId="59C8C8FE" w:rsidR="00077712" w:rsidRPr="00467B83" w:rsidRDefault="00467B83" w:rsidP="00467B83">
      <w:pPr>
        <w:pStyle w:val="NormalWeb"/>
        <w:shd w:val="clear" w:color="auto" w:fill="FFFFFF"/>
        <w:spacing w:before="45" w:beforeAutospacing="0" w:after="160" w:afterAutospacing="0" w:line="360" w:lineRule="auto"/>
        <w:ind w:left="75" w:right="75" w:firstLine="1120"/>
        <w:jc w:val="both"/>
        <w:rPr>
          <w:rFonts w:ascii="Garamond" w:hAnsi="Garamond" w:cs="Calibri"/>
          <w:color w:val="000000"/>
          <w:sz w:val="28"/>
          <w:szCs w:val="28"/>
        </w:rPr>
      </w:pPr>
      <w:proofErr w:type="gramStart"/>
      <w:r w:rsidRPr="00467B83">
        <w:rPr>
          <w:rFonts w:ascii="Garamond" w:hAnsi="Garamond" w:cs="Arial"/>
          <w:color w:val="000000"/>
          <w:sz w:val="28"/>
          <w:szCs w:val="28"/>
        </w:rPr>
        <w:t>b)E</w:t>
      </w:r>
      <w:r w:rsidR="00077712" w:rsidRPr="00467B83">
        <w:rPr>
          <w:rFonts w:ascii="Garamond" w:hAnsi="Garamond" w:cs="Arial"/>
          <w:color w:val="000000"/>
          <w:sz w:val="28"/>
          <w:szCs w:val="28"/>
        </w:rPr>
        <w:t>l</w:t>
      </w:r>
      <w:proofErr w:type="gramEnd"/>
      <w:r w:rsidR="00077712" w:rsidRPr="00467B83">
        <w:rPr>
          <w:rFonts w:ascii="Garamond" w:hAnsi="Garamond" w:cs="Arial"/>
          <w:color w:val="000000"/>
          <w:sz w:val="28"/>
          <w:szCs w:val="28"/>
        </w:rPr>
        <w:t xml:space="preserve"> actor se encontró habilitado para ejercer su derecho sobre los bienes que integran el acervo hereditario de su progenitor, recién a partir del 28/12/2018, fecha en que, vencido el plazo para que César Adrián Andreu interponga apelación, adquirió firmeza la sentencia de fecha 28/09/2018, que lo declaró hijo del causante (ver </w:t>
      </w:r>
      <w:proofErr w:type="spellStart"/>
      <w:r w:rsidR="00077712" w:rsidRPr="00467B83">
        <w:rPr>
          <w:rFonts w:ascii="Garamond" w:hAnsi="Garamond" w:cs="Arial"/>
          <w:color w:val="000000"/>
          <w:sz w:val="28"/>
          <w:szCs w:val="28"/>
        </w:rPr>
        <w:t>expte</w:t>
      </w:r>
      <w:proofErr w:type="spellEnd"/>
      <w:r w:rsidR="00077712" w:rsidRPr="00467B83">
        <w:rPr>
          <w:rFonts w:ascii="Garamond" w:hAnsi="Garamond" w:cs="Arial"/>
          <w:color w:val="000000"/>
          <w:sz w:val="28"/>
          <w:szCs w:val="28"/>
        </w:rPr>
        <w:t xml:space="preserve">. </w:t>
      </w:r>
      <w:proofErr w:type="spellStart"/>
      <w:r w:rsidR="00077712" w:rsidRPr="00467B83">
        <w:rPr>
          <w:rFonts w:ascii="Garamond" w:hAnsi="Garamond" w:cs="Arial"/>
          <w:color w:val="000000"/>
          <w:sz w:val="28"/>
          <w:szCs w:val="28"/>
        </w:rPr>
        <w:t>n°</w:t>
      </w:r>
      <w:proofErr w:type="spellEnd"/>
      <w:r w:rsidR="00077712" w:rsidRPr="00467B83">
        <w:rPr>
          <w:rFonts w:ascii="Garamond" w:hAnsi="Garamond" w:cs="Arial"/>
          <w:color w:val="000000"/>
          <w:sz w:val="28"/>
          <w:szCs w:val="28"/>
        </w:rPr>
        <w:t xml:space="preserve"> 3238/2018, cédula adjunta a la presentación de fecha 04/02/2019).</w:t>
      </w:r>
    </w:p>
    <w:p w14:paraId="5198CF69" w14:textId="6D06B00F" w:rsidR="00077712" w:rsidRPr="00467B83" w:rsidRDefault="00467B83" w:rsidP="00467B83">
      <w:pPr>
        <w:pStyle w:val="NormalWeb"/>
        <w:shd w:val="clear" w:color="auto" w:fill="FFFFFF"/>
        <w:spacing w:before="45" w:beforeAutospacing="0" w:after="160" w:afterAutospacing="0" w:line="360" w:lineRule="auto"/>
        <w:ind w:left="75" w:right="75" w:firstLine="1120"/>
        <w:jc w:val="both"/>
        <w:rPr>
          <w:rFonts w:ascii="Garamond" w:hAnsi="Garamond" w:cs="Calibri"/>
          <w:color w:val="000000"/>
          <w:sz w:val="28"/>
          <w:szCs w:val="28"/>
        </w:rPr>
      </w:pPr>
      <w:r w:rsidRPr="00467B83">
        <w:rPr>
          <w:rFonts w:ascii="Garamond" w:hAnsi="Garamond" w:cs="Arial"/>
          <w:color w:val="000000"/>
          <w:sz w:val="28"/>
          <w:szCs w:val="28"/>
        </w:rPr>
        <w:t>c)D</w:t>
      </w:r>
      <w:r w:rsidR="00077712" w:rsidRPr="00467B83">
        <w:rPr>
          <w:rFonts w:ascii="Garamond" w:hAnsi="Garamond" w:cs="Arial"/>
          <w:color w:val="000000"/>
          <w:sz w:val="28"/>
          <w:szCs w:val="28"/>
        </w:rPr>
        <w:t>esde el 12/06/2007, fecha de fallecimiento de Carlos Antonio Andreu, hasta el 28/12/2018, no corrió el plazo de prescripción, porque todavía no había nacido la acción para que el actor pudiera ejercer sus derechos sobre los bienes relictos.</w:t>
      </w:r>
    </w:p>
    <w:p w14:paraId="0A744A68" w14:textId="68F6A7BE" w:rsidR="00077712" w:rsidRPr="00467B83" w:rsidRDefault="00467B83" w:rsidP="00467B83">
      <w:pPr>
        <w:pStyle w:val="NormalWeb"/>
        <w:shd w:val="clear" w:color="auto" w:fill="FFFFFF"/>
        <w:spacing w:before="45" w:beforeAutospacing="0" w:after="160" w:afterAutospacing="0" w:line="360" w:lineRule="auto"/>
        <w:ind w:left="75" w:right="75" w:firstLine="1120"/>
        <w:jc w:val="both"/>
        <w:rPr>
          <w:rFonts w:ascii="Garamond" w:hAnsi="Garamond" w:cs="Calibri"/>
          <w:color w:val="000000"/>
          <w:sz w:val="28"/>
          <w:szCs w:val="28"/>
        </w:rPr>
      </w:pPr>
      <w:r w:rsidRPr="00467B83">
        <w:rPr>
          <w:rFonts w:ascii="Garamond" w:hAnsi="Garamond" w:cs="Arial"/>
          <w:color w:val="000000"/>
          <w:sz w:val="28"/>
          <w:szCs w:val="28"/>
        </w:rPr>
        <w:lastRenderedPageBreak/>
        <w:t>3) a) Esta</w:t>
      </w:r>
      <w:r w:rsidR="00077712" w:rsidRPr="00467B83">
        <w:rPr>
          <w:rFonts w:ascii="Garamond" w:hAnsi="Garamond" w:cs="Arial"/>
          <w:color w:val="000000"/>
          <w:sz w:val="28"/>
          <w:szCs w:val="28"/>
        </w:rPr>
        <w:t xml:space="preserve"> reserva de accionar por rendición de cuentas, es </w:t>
      </w:r>
      <w:proofErr w:type="spellStart"/>
      <w:r w:rsidR="00077712" w:rsidRPr="00467B83">
        <w:rPr>
          <w:rFonts w:ascii="Garamond" w:hAnsi="Garamond" w:cs="Arial"/>
          <w:color w:val="000000"/>
          <w:sz w:val="28"/>
          <w:szCs w:val="28"/>
        </w:rPr>
        <w:t>interruptiva</w:t>
      </w:r>
      <w:proofErr w:type="spellEnd"/>
      <w:r w:rsidR="00077712" w:rsidRPr="00467B83">
        <w:rPr>
          <w:rFonts w:ascii="Garamond" w:hAnsi="Garamond" w:cs="Arial"/>
          <w:color w:val="000000"/>
          <w:sz w:val="28"/>
          <w:szCs w:val="28"/>
        </w:rPr>
        <w:t xml:space="preserve"> de la prescripción, porque constituye una actuación judicial que traduce la intención del actor de no abandonar su derecho (2546 CCyC).</w:t>
      </w:r>
    </w:p>
    <w:p w14:paraId="2A572AF5" w14:textId="2DA33108" w:rsidR="00077712" w:rsidRPr="00467B83" w:rsidRDefault="00467B83" w:rsidP="00467B83">
      <w:pPr>
        <w:pStyle w:val="NormalWeb"/>
        <w:shd w:val="clear" w:color="auto" w:fill="FFFFFF"/>
        <w:spacing w:before="45" w:beforeAutospacing="0" w:after="160" w:afterAutospacing="0" w:line="360" w:lineRule="auto"/>
        <w:ind w:left="75" w:right="75" w:firstLine="1120"/>
        <w:jc w:val="both"/>
        <w:rPr>
          <w:rFonts w:ascii="Garamond" w:hAnsi="Garamond" w:cs="Calibri"/>
          <w:color w:val="000000"/>
          <w:sz w:val="28"/>
          <w:szCs w:val="28"/>
        </w:rPr>
      </w:pPr>
      <w:proofErr w:type="gramStart"/>
      <w:r w:rsidRPr="00467B83">
        <w:rPr>
          <w:rFonts w:ascii="Garamond" w:hAnsi="Garamond" w:cs="Arial"/>
          <w:color w:val="000000"/>
          <w:sz w:val="28"/>
          <w:szCs w:val="28"/>
        </w:rPr>
        <w:t>b)</w:t>
      </w:r>
      <w:r w:rsidR="00A455D0">
        <w:rPr>
          <w:rFonts w:ascii="Garamond" w:hAnsi="Garamond" w:cs="Arial"/>
          <w:color w:val="000000"/>
          <w:sz w:val="28"/>
          <w:szCs w:val="28"/>
        </w:rPr>
        <w:t>E</w:t>
      </w:r>
      <w:r w:rsidR="00077712" w:rsidRPr="00467B83">
        <w:rPr>
          <w:rFonts w:ascii="Garamond" w:hAnsi="Garamond" w:cs="Arial"/>
          <w:color w:val="000000"/>
          <w:sz w:val="28"/>
          <w:szCs w:val="28"/>
        </w:rPr>
        <w:t>l</w:t>
      </w:r>
      <w:proofErr w:type="gramEnd"/>
      <w:r w:rsidR="00077712" w:rsidRPr="00467B83">
        <w:rPr>
          <w:rFonts w:ascii="Garamond" w:hAnsi="Garamond" w:cs="Arial"/>
          <w:color w:val="000000"/>
          <w:sz w:val="28"/>
          <w:szCs w:val="28"/>
        </w:rPr>
        <w:t xml:space="preserve"> Dr. Juan Carlos </w:t>
      </w:r>
      <w:proofErr w:type="spellStart"/>
      <w:r w:rsidR="00077712" w:rsidRPr="00467B83">
        <w:rPr>
          <w:rFonts w:ascii="Garamond" w:hAnsi="Garamond" w:cs="Arial"/>
          <w:color w:val="000000"/>
          <w:sz w:val="28"/>
          <w:szCs w:val="28"/>
        </w:rPr>
        <w:t>Hitters</w:t>
      </w:r>
      <w:proofErr w:type="spellEnd"/>
      <w:r w:rsidR="00077712" w:rsidRPr="00467B83">
        <w:rPr>
          <w:rFonts w:ascii="Garamond" w:hAnsi="Garamond" w:cs="Arial"/>
          <w:color w:val="000000"/>
          <w:sz w:val="28"/>
          <w:szCs w:val="28"/>
        </w:rPr>
        <w:t xml:space="preserve"> expuso que </w:t>
      </w:r>
      <w:r w:rsidR="00077712" w:rsidRPr="00467B83">
        <w:rPr>
          <w:rFonts w:ascii="Garamond" w:hAnsi="Garamond" w:cs="Arial"/>
          <w:i/>
          <w:iCs/>
          <w:color w:val="000000"/>
          <w:sz w:val="28"/>
          <w:szCs w:val="28"/>
        </w:rPr>
        <w:t>"...Interrumpe la prescripción, de conformidad con el art. 3986 del Código Civil, la presentación -en un "otrosí"- efectuada en causa penal ratificando lo actuado por el letrado interviniente, quien expresamente, en el mismo escrito, </w:t>
      </w:r>
      <w:r w:rsidR="00077712" w:rsidRPr="00467B83">
        <w:rPr>
          <w:rFonts w:ascii="Garamond" w:hAnsi="Garamond" w:cs="Arial"/>
          <w:b/>
          <w:bCs/>
          <w:i/>
          <w:iCs/>
          <w:color w:val="000000"/>
          <w:sz w:val="28"/>
          <w:szCs w:val="28"/>
        </w:rPr>
        <w:t>efectuó reserva de accionar civilmente</w:t>
      </w:r>
      <w:r w:rsidR="00077712" w:rsidRPr="00467B83">
        <w:rPr>
          <w:rFonts w:ascii="Garamond" w:hAnsi="Garamond" w:cs="Arial"/>
          <w:i/>
          <w:iCs/>
          <w:color w:val="000000"/>
          <w:sz w:val="28"/>
          <w:szCs w:val="28"/>
        </w:rPr>
        <w:t> lo que constituye una manifestación de voluntad idónea para desvirtuar la presunción de abandono inducible del silencio o la inacción..."</w:t>
      </w:r>
      <w:r w:rsidR="00077712" w:rsidRPr="00467B83">
        <w:rPr>
          <w:rFonts w:ascii="Garamond" w:hAnsi="Garamond" w:cs="Arial"/>
          <w:color w:val="000000"/>
          <w:sz w:val="28"/>
          <w:szCs w:val="28"/>
        </w:rPr>
        <w:t xml:space="preserve"> (ver </w:t>
      </w:r>
      <w:proofErr w:type="spellStart"/>
      <w:r w:rsidR="00077712" w:rsidRPr="00467B83">
        <w:rPr>
          <w:rFonts w:ascii="Garamond" w:hAnsi="Garamond" w:cs="Arial"/>
          <w:color w:val="000000"/>
          <w:sz w:val="28"/>
          <w:szCs w:val="28"/>
        </w:rPr>
        <w:t>sent</w:t>
      </w:r>
      <w:proofErr w:type="spellEnd"/>
      <w:r w:rsidR="00077712" w:rsidRPr="00467B83">
        <w:rPr>
          <w:rFonts w:ascii="Garamond" w:hAnsi="Garamond" w:cs="Arial"/>
          <w:color w:val="000000"/>
          <w:sz w:val="28"/>
          <w:szCs w:val="28"/>
        </w:rPr>
        <w:t>. del 27/02/1996 recaída en Ac 57436 "</w:t>
      </w:r>
      <w:proofErr w:type="spellStart"/>
      <w:r w:rsidR="00077712" w:rsidRPr="00467B83">
        <w:rPr>
          <w:rFonts w:ascii="Garamond" w:hAnsi="Garamond" w:cs="Arial"/>
          <w:color w:val="000000"/>
          <w:sz w:val="28"/>
          <w:szCs w:val="28"/>
        </w:rPr>
        <w:t>Tripoloni</w:t>
      </w:r>
      <w:proofErr w:type="spellEnd"/>
      <w:r w:rsidR="00077712" w:rsidRPr="00467B83">
        <w:rPr>
          <w:rFonts w:ascii="Garamond" w:hAnsi="Garamond" w:cs="Arial"/>
          <w:color w:val="000000"/>
          <w:sz w:val="28"/>
          <w:szCs w:val="28"/>
        </w:rPr>
        <w:t xml:space="preserve">, Rosa Elisa c/ </w:t>
      </w:r>
      <w:proofErr w:type="spellStart"/>
      <w:r w:rsidR="00077712" w:rsidRPr="00467B83">
        <w:rPr>
          <w:rFonts w:ascii="Garamond" w:hAnsi="Garamond" w:cs="Arial"/>
          <w:color w:val="000000"/>
          <w:sz w:val="28"/>
          <w:szCs w:val="28"/>
        </w:rPr>
        <w:t>Yakoncic</w:t>
      </w:r>
      <w:proofErr w:type="spellEnd"/>
      <w:r w:rsidR="00077712" w:rsidRPr="00467B83">
        <w:rPr>
          <w:rFonts w:ascii="Garamond" w:hAnsi="Garamond" w:cs="Arial"/>
          <w:color w:val="000000"/>
          <w:sz w:val="28"/>
          <w:szCs w:val="28"/>
        </w:rPr>
        <w:t>, Eugenio Rafael s/ Daños y perjuicios", el entrecomillado encierra copia textual salvo el resaltado que me pertenece).</w:t>
      </w:r>
    </w:p>
    <w:p w14:paraId="6D17D52A" w14:textId="15B475DA" w:rsidR="00077712" w:rsidRPr="00467B83" w:rsidRDefault="00467B83" w:rsidP="00467B83">
      <w:pPr>
        <w:pStyle w:val="NormalWeb"/>
        <w:shd w:val="clear" w:color="auto" w:fill="FFFFFF"/>
        <w:spacing w:before="45" w:beforeAutospacing="0" w:after="160" w:afterAutospacing="0" w:line="360" w:lineRule="auto"/>
        <w:ind w:left="75" w:right="75" w:firstLine="1120"/>
        <w:jc w:val="both"/>
        <w:rPr>
          <w:rFonts w:ascii="Garamond" w:hAnsi="Garamond" w:cs="Calibri"/>
          <w:color w:val="000000"/>
          <w:sz w:val="28"/>
          <w:szCs w:val="28"/>
        </w:rPr>
      </w:pPr>
      <w:r w:rsidRPr="00467B83">
        <w:rPr>
          <w:rFonts w:ascii="Garamond" w:hAnsi="Garamond" w:cs="Arial"/>
          <w:color w:val="000000"/>
          <w:sz w:val="28"/>
          <w:szCs w:val="28"/>
        </w:rPr>
        <w:t>c)</w:t>
      </w:r>
      <w:r w:rsidR="00A455D0">
        <w:rPr>
          <w:rFonts w:ascii="Garamond" w:hAnsi="Garamond" w:cs="Arial"/>
          <w:color w:val="000000"/>
          <w:sz w:val="28"/>
          <w:szCs w:val="28"/>
        </w:rPr>
        <w:t>E</w:t>
      </w:r>
      <w:r w:rsidR="00077712" w:rsidRPr="00467B83">
        <w:rPr>
          <w:rFonts w:ascii="Garamond" w:hAnsi="Garamond" w:cs="Arial"/>
          <w:color w:val="000000"/>
          <w:sz w:val="28"/>
          <w:szCs w:val="28"/>
        </w:rPr>
        <w:t xml:space="preserve">l Dr. Sergio Torres, asignó a la reserva, el carácter de acto </w:t>
      </w:r>
      <w:proofErr w:type="spellStart"/>
      <w:r w:rsidR="00077712" w:rsidRPr="00467B83">
        <w:rPr>
          <w:rFonts w:ascii="Garamond" w:hAnsi="Garamond" w:cs="Arial"/>
          <w:color w:val="000000"/>
          <w:sz w:val="28"/>
          <w:szCs w:val="28"/>
        </w:rPr>
        <w:t>interruptivo</w:t>
      </w:r>
      <w:proofErr w:type="spellEnd"/>
      <w:r w:rsidR="00077712" w:rsidRPr="00467B83">
        <w:rPr>
          <w:rFonts w:ascii="Garamond" w:hAnsi="Garamond" w:cs="Arial"/>
          <w:color w:val="000000"/>
          <w:sz w:val="28"/>
          <w:szCs w:val="28"/>
        </w:rPr>
        <w:t xml:space="preserve"> de la prescripción, al exponer que </w:t>
      </w:r>
      <w:r w:rsidR="00077712" w:rsidRPr="00467B83">
        <w:rPr>
          <w:rFonts w:ascii="Garamond" w:hAnsi="Garamond" w:cs="Arial"/>
          <w:i/>
          <w:iCs/>
          <w:color w:val="000000"/>
          <w:sz w:val="28"/>
          <w:szCs w:val="28"/>
        </w:rPr>
        <w:t>"...Si bien la </w:t>
      </w:r>
      <w:r w:rsidR="00077712" w:rsidRPr="00467B83">
        <w:rPr>
          <w:rFonts w:ascii="Garamond" w:hAnsi="Garamond" w:cs="Arial"/>
          <w:b/>
          <w:bCs/>
          <w:i/>
          <w:iCs/>
          <w:color w:val="000000"/>
          <w:sz w:val="28"/>
          <w:szCs w:val="28"/>
        </w:rPr>
        <w:t>reserva</w:t>
      </w:r>
      <w:r w:rsidR="00077712" w:rsidRPr="00467B83">
        <w:rPr>
          <w:rFonts w:ascii="Garamond" w:hAnsi="Garamond" w:cs="Arial"/>
          <w:i/>
          <w:iCs/>
          <w:color w:val="000000"/>
          <w:sz w:val="28"/>
          <w:szCs w:val="28"/>
        </w:rPr>
        <w:t> del derecho de reclamar una compensación económica para suspender el plazo de caducidad legal, llevaría a confundir tal cuestión con la </w:t>
      </w:r>
      <w:r w:rsidR="00077712" w:rsidRPr="00467B83">
        <w:rPr>
          <w:rFonts w:ascii="Garamond" w:hAnsi="Garamond" w:cs="Arial"/>
          <w:b/>
          <w:bCs/>
          <w:i/>
          <w:iCs/>
          <w:color w:val="000000"/>
          <w:sz w:val="28"/>
          <w:szCs w:val="28"/>
        </w:rPr>
        <w:t>prescripción</w:t>
      </w:r>
      <w:r w:rsidR="00077712" w:rsidRPr="00467B83">
        <w:rPr>
          <w:rFonts w:ascii="Garamond" w:hAnsi="Garamond" w:cs="Arial"/>
          <w:i/>
          <w:iCs/>
          <w:color w:val="000000"/>
          <w:sz w:val="28"/>
          <w:szCs w:val="28"/>
        </w:rPr>
        <w:t> procesal, debe considerarse que, frente a particularísimas circunstancias, el apego estricto a la norma generaría una injusticia y un perjuicio irreparable a los derechos de la recurrente de acceder a la justicia..."</w:t>
      </w:r>
      <w:r w:rsidR="00077712" w:rsidRPr="00467B83">
        <w:rPr>
          <w:rFonts w:ascii="Garamond" w:hAnsi="Garamond" w:cs="Arial"/>
          <w:color w:val="000000"/>
          <w:sz w:val="28"/>
          <w:szCs w:val="28"/>
        </w:rPr>
        <w:t> (</w:t>
      </w:r>
      <w:proofErr w:type="spellStart"/>
      <w:r w:rsidR="00077712" w:rsidRPr="00467B83">
        <w:rPr>
          <w:rFonts w:ascii="Garamond" w:hAnsi="Garamond" w:cs="Arial"/>
          <w:color w:val="000000"/>
          <w:sz w:val="28"/>
          <w:szCs w:val="28"/>
        </w:rPr>
        <w:t>sent</w:t>
      </w:r>
      <w:proofErr w:type="spellEnd"/>
      <w:r w:rsidR="00077712" w:rsidRPr="00467B83">
        <w:rPr>
          <w:rFonts w:ascii="Garamond" w:hAnsi="Garamond" w:cs="Arial"/>
          <w:color w:val="000000"/>
          <w:sz w:val="28"/>
          <w:szCs w:val="28"/>
        </w:rPr>
        <w:t>. del 21/03/2022 recaída en causa C 124589 "M., L.F. c/ C., M.E. s/ Acción de compensación económica", el entrecomillado encierra copia textual salvo el resaltado que me pertenece). </w:t>
      </w:r>
    </w:p>
    <w:p w14:paraId="46599622" w14:textId="4FA511A0" w:rsidR="00077712" w:rsidRPr="00467B83" w:rsidRDefault="00467B83" w:rsidP="00467B83">
      <w:pPr>
        <w:pStyle w:val="NormalWeb"/>
        <w:shd w:val="clear" w:color="auto" w:fill="FFFFFF"/>
        <w:spacing w:before="45" w:beforeAutospacing="0" w:after="160" w:afterAutospacing="0" w:line="360" w:lineRule="auto"/>
        <w:ind w:left="75" w:right="75" w:firstLine="1120"/>
        <w:jc w:val="both"/>
        <w:rPr>
          <w:rFonts w:ascii="Garamond" w:hAnsi="Garamond" w:cs="Calibri"/>
          <w:color w:val="000000"/>
          <w:sz w:val="28"/>
          <w:szCs w:val="28"/>
        </w:rPr>
      </w:pPr>
      <w:r w:rsidRPr="00467B83">
        <w:rPr>
          <w:rFonts w:ascii="Garamond" w:hAnsi="Garamond" w:cs="Arial"/>
          <w:color w:val="000000"/>
          <w:sz w:val="28"/>
          <w:szCs w:val="28"/>
        </w:rPr>
        <w:t xml:space="preserve">d) </w:t>
      </w:r>
      <w:r w:rsidR="00A455D0">
        <w:rPr>
          <w:rFonts w:ascii="Garamond" w:hAnsi="Garamond" w:cs="Arial"/>
          <w:color w:val="000000"/>
          <w:sz w:val="28"/>
          <w:szCs w:val="28"/>
        </w:rPr>
        <w:t>L</w:t>
      </w:r>
      <w:r w:rsidR="00077712" w:rsidRPr="00467B83">
        <w:rPr>
          <w:rFonts w:ascii="Garamond" w:hAnsi="Garamond" w:cs="Arial"/>
          <w:color w:val="000000"/>
          <w:sz w:val="28"/>
          <w:szCs w:val="28"/>
        </w:rPr>
        <w:t>a acción ejercida en autos no está prescripta respecto de ninguno de los periodos transcurridos con posterioridad al fallecimiento de Carlos Antonio Andreu, ocurrido el 12/06/2007; ya que el plazo de prescripción que comenzó a correr en fecha 28/12/2018, quedó interrumpido con la presentación de fecha 15/10/2020, por lo que, a partir de esta última fecha, se inició un nuevo cómputo íntegro del plazo, resultando entonces oportuna la promoción de la demanda en fecha 03/02/2022 (art. 2544 CCyC)</w:t>
      </w:r>
    </w:p>
    <w:p w14:paraId="70FA0C15" w14:textId="77777777" w:rsidR="00077712" w:rsidRDefault="00077712"/>
    <w:sectPr w:rsidR="000777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12"/>
    <w:rsid w:val="00077712"/>
    <w:rsid w:val="00467B83"/>
    <w:rsid w:val="00870BC8"/>
    <w:rsid w:val="008C1CDC"/>
    <w:rsid w:val="00A40825"/>
    <w:rsid w:val="00A44B0E"/>
    <w:rsid w:val="00A455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64C7"/>
  <w15:chartTrackingRefBased/>
  <w15:docId w15:val="{6B406400-69B6-42B3-917D-8F7A47DE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77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77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777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777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777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7771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7771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7771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7771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77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777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777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777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777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777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777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777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77712"/>
    <w:rPr>
      <w:rFonts w:eastAsiaTheme="majorEastAsia" w:cstheme="majorBidi"/>
      <w:color w:val="272727" w:themeColor="text1" w:themeTint="D8"/>
    </w:rPr>
  </w:style>
  <w:style w:type="paragraph" w:styleId="Ttulo">
    <w:name w:val="Title"/>
    <w:basedOn w:val="Normal"/>
    <w:next w:val="Normal"/>
    <w:link w:val="TtuloCar"/>
    <w:uiPriority w:val="10"/>
    <w:qFormat/>
    <w:rsid w:val="00077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777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777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777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77712"/>
    <w:pPr>
      <w:spacing w:before="160"/>
      <w:jc w:val="center"/>
    </w:pPr>
    <w:rPr>
      <w:i/>
      <w:iCs/>
      <w:color w:val="404040" w:themeColor="text1" w:themeTint="BF"/>
    </w:rPr>
  </w:style>
  <w:style w:type="character" w:customStyle="1" w:styleId="CitaCar">
    <w:name w:val="Cita Car"/>
    <w:basedOn w:val="Fuentedeprrafopredeter"/>
    <w:link w:val="Cita"/>
    <w:uiPriority w:val="29"/>
    <w:rsid w:val="00077712"/>
    <w:rPr>
      <w:i/>
      <w:iCs/>
      <w:color w:val="404040" w:themeColor="text1" w:themeTint="BF"/>
    </w:rPr>
  </w:style>
  <w:style w:type="paragraph" w:styleId="Prrafodelista">
    <w:name w:val="List Paragraph"/>
    <w:basedOn w:val="Normal"/>
    <w:uiPriority w:val="34"/>
    <w:qFormat/>
    <w:rsid w:val="00077712"/>
    <w:pPr>
      <w:ind w:left="720"/>
      <w:contextualSpacing/>
    </w:pPr>
  </w:style>
  <w:style w:type="character" w:styleId="nfasisintenso">
    <w:name w:val="Intense Emphasis"/>
    <w:basedOn w:val="Fuentedeprrafopredeter"/>
    <w:uiPriority w:val="21"/>
    <w:qFormat/>
    <w:rsid w:val="00077712"/>
    <w:rPr>
      <w:i/>
      <w:iCs/>
      <w:color w:val="0F4761" w:themeColor="accent1" w:themeShade="BF"/>
    </w:rPr>
  </w:style>
  <w:style w:type="paragraph" w:styleId="Citadestacada">
    <w:name w:val="Intense Quote"/>
    <w:basedOn w:val="Normal"/>
    <w:next w:val="Normal"/>
    <w:link w:val="CitadestacadaCar"/>
    <w:uiPriority w:val="30"/>
    <w:qFormat/>
    <w:rsid w:val="00077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77712"/>
    <w:rPr>
      <w:i/>
      <w:iCs/>
      <w:color w:val="0F4761" w:themeColor="accent1" w:themeShade="BF"/>
    </w:rPr>
  </w:style>
  <w:style w:type="character" w:styleId="Referenciaintensa">
    <w:name w:val="Intense Reference"/>
    <w:basedOn w:val="Fuentedeprrafopredeter"/>
    <w:uiPriority w:val="32"/>
    <w:qFormat/>
    <w:rsid w:val="00077712"/>
    <w:rPr>
      <w:b/>
      <w:bCs/>
      <w:smallCaps/>
      <w:color w:val="0F4761" w:themeColor="accent1" w:themeShade="BF"/>
      <w:spacing w:val="5"/>
    </w:rPr>
  </w:style>
  <w:style w:type="paragraph" w:styleId="NormalWeb">
    <w:name w:val="Normal (Web)"/>
    <w:basedOn w:val="Normal"/>
    <w:uiPriority w:val="99"/>
    <w:semiHidden/>
    <w:unhideWhenUsed/>
    <w:rsid w:val="00077712"/>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348222">
      <w:bodyDiv w:val="1"/>
      <w:marLeft w:val="0"/>
      <w:marRight w:val="0"/>
      <w:marTop w:val="0"/>
      <w:marBottom w:val="0"/>
      <w:divBdr>
        <w:top w:val="none" w:sz="0" w:space="0" w:color="auto"/>
        <w:left w:val="none" w:sz="0" w:space="0" w:color="auto"/>
        <w:bottom w:val="none" w:sz="0" w:space="0" w:color="auto"/>
        <w:right w:val="none" w:sz="0" w:space="0" w:color="auto"/>
      </w:divBdr>
    </w:div>
    <w:div w:id="1307124786">
      <w:bodyDiv w:val="1"/>
      <w:marLeft w:val="0"/>
      <w:marRight w:val="0"/>
      <w:marTop w:val="0"/>
      <w:marBottom w:val="0"/>
      <w:divBdr>
        <w:top w:val="none" w:sz="0" w:space="0" w:color="auto"/>
        <w:left w:val="none" w:sz="0" w:space="0" w:color="auto"/>
        <w:bottom w:val="none" w:sz="0" w:space="0" w:color="auto"/>
        <w:right w:val="none" w:sz="0" w:space="0" w:color="auto"/>
      </w:divBdr>
    </w:div>
    <w:div w:id="137088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563</Words>
  <Characters>3099</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rosaagesta@hotmail.com</dc:creator>
  <cp:keywords/>
  <dc:description/>
  <cp:lastModifiedBy>rosaagesta@hotmail.com</cp:lastModifiedBy>
  <cp:revision>3</cp:revision>
  <dcterms:created xsi:type="dcterms:W3CDTF">2024-11-09T22:23:00Z</dcterms:created>
  <dcterms:modified xsi:type="dcterms:W3CDTF">2024-11-10T22:20:00Z</dcterms:modified>
</cp:coreProperties>
</file>