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EB203" w14:textId="7F02A2B9" w:rsidR="00870BC8" w:rsidRPr="00633194" w:rsidRDefault="00633194" w:rsidP="00BE6271">
      <w:pPr>
        <w:spacing w:line="360" w:lineRule="auto"/>
        <w:jc w:val="both"/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</w:pPr>
      <w:r w:rsidRPr="00633194"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t xml:space="preserve">EXPTE. </w:t>
      </w:r>
      <w:proofErr w:type="spellStart"/>
      <w:r w:rsidRPr="00633194"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t>N°</w:t>
      </w:r>
      <w:proofErr w:type="spellEnd"/>
      <w:r w:rsidRPr="00633194"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t>: JU-3292-2022 DOMINGUEZ MARIA ITATI Y OTRO/A C/ CIA DE SEGUROS MERCANTIL ANDINA S.A. Y OTRO/A S/ DAÑOS Y PERJ.AUTOM. C/LES. O MUERTE (EXC.ESTADO)</w:t>
      </w:r>
    </w:p>
    <w:p w14:paraId="481F424C" w14:textId="77777777" w:rsidR="00633194" w:rsidRPr="00633194" w:rsidRDefault="00633194" w:rsidP="00BE6271">
      <w:pPr>
        <w:spacing w:line="360" w:lineRule="auto"/>
        <w:jc w:val="both"/>
        <w:rPr>
          <w:rFonts w:ascii="Garamond" w:hAnsi="Garamond" w:cs="Arial"/>
          <w:color w:val="000000"/>
          <w:sz w:val="28"/>
          <w:szCs w:val="28"/>
          <w:shd w:val="clear" w:color="auto" w:fill="FFFFFF"/>
        </w:rPr>
      </w:pPr>
    </w:p>
    <w:p w14:paraId="7FAC1805" w14:textId="34370B8B" w:rsidR="00633194" w:rsidRDefault="00633194" w:rsidP="00BE6271">
      <w:pPr>
        <w:spacing w:line="360" w:lineRule="auto"/>
        <w:jc w:val="both"/>
        <w:rPr>
          <w:rFonts w:ascii="Garamond" w:hAnsi="Garamond" w:cs="Arial"/>
          <w:color w:val="000000"/>
          <w:sz w:val="28"/>
          <w:szCs w:val="28"/>
          <w:shd w:val="clear" w:color="auto" w:fill="FFFFFF"/>
        </w:rPr>
      </w:pPr>
      <w:r w:rsidRPr="00633194"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 xml:space="preserve">COSA JUZGADA. LA FIRMEZA DE LOS PRONUNCIAMIENTOS JUDICIALES IMPIDE LA APLICACIÓN DEL CASO BARRIOS POR IMPERATIVO DE LA PRECLUSIÓN. </w:t>
      </w:r>
    </w:p>
    <w:p w14:paraId="3EC08152" w14:textId="5698956D" w:rsidR="00633194" w:rsidRPr="00BE6271" w:rsidRDefault="00BE6271" w:rsidP="00BE6271">
      <w:pPr>
        <w:spacing w:line="360" w:lineRule="auto"/>
        <w:ind w:left="709" w:hanging="709"/>
        <w:jc w:val="both"/>
        <w:rPr>
          <w:rFonts w:ascii="Garamond" w:hAnsi="Garamond" w:cs="Arial"/>
          <w:color w:val="000000"/>
          <w:sz w:val="28"/>
          <w:szCs w:val="28"/>
          <w:shd w:val="clear" w:color="auto" w:fill="FFFFFF"/>
        </w:rPr>
      </w:pPr>
      <w:r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>1-</w:t>
      </w:r>
      <w:r w:rsidRPr="00BE6271"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 xml:space="preserve">a) </w:t>
      </w:r>
      <w:r w:rsidR="00633194" w:rsidRPr="00BE6271"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 xml:space="preserve">Los </w:t>
      </w:r>
      <w:proofErr w:type="spellStart"/>
      <w:r w:rsidR="00633194" w:rsidRPr="00BE6271"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>coactores</w:t>
      </w:r>
      <w:proofErr w:type="spellEnd"/>
      <w:r w:rsidR="00633194" w:rsidRPr="00BE6271"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>, con el patrocinio letrado del Dr. Fernando Farías, solicitaron se aclare la sentencia dictada por este Tribunal en fecha 03-10-24, aplicando a los montos de condena la doctrina legal dispuesta por el fallo "Barrios</w:t>
      </w:r>
      <w:r w:rsidR="002E23D4" w:rsidRPr="00BE6271"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>”. -</w:t>
      </w:r>
    </w:p>
    <w:p w14:paraId="0BDD2B10" w14:textId="6B5C4FCF" w:rsidR="00633194" w:rsidRPr="002E23D4" w:rsidRDefault="00BE6271" w:rsidP="00BE6271">
      <w:pPr>
        <w:spacing w:line="360" w:lineRule="auto"/>
        <w:ind w:left="709" w:hanging="709"/>
        <w:jc w:val="both"/>
        <w:rPr>
          <w:rFonts w:ascii="Garamond" w:hAnsi="Garamond" w:cs="Arial"/>
          <w:color w:val="000000"/>
          <w:sz w:val="28"/>
          <w:szCs w:val="28"/>
          <w:shd w:val="clear" w:color="auto" w:fill="FFFFFF"/>
        </w:rPr>
      </w:pPr>
      <w:r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 xml:space="preserve">b) </w:t>
      </w:r>
      <w:r w:rsidR="00633194" w:rsidRPr="002E23D4"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 xml:space="preserve"> Tal como lo tiene decidido la Suprema Corte de Justicia, "...la firmeza de los actos procesales es, en efecto, una necesidad jurídica que justifica su validez, no </w:t>
      </w:r>
      <w:r w:rsidR="002E23D4" w:rsidRPr="002E23D4"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>obstante,</w:t>
      </w:r>
      <w:r w:rsidR="00633194" w:rsidRPr="002E23D4"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 xml:space="preserve"> los vicios que pudieran presentar.</w:t>
      </w:r>
    </w:p>
    <w:p w14:paraId="606CB869" w14:textId="2A99EFE8" w:rsidR="00633194" w:rsidRPr="002E23D4" w:rsidRDefault="00633194" w:rsidP="00BE6271">
      <w:pPr>
        <w:spacing w:line="360" w:lineRule="auto"/>
        <w:ind w:left="709" w:hanging="709"/>
        <w:jc w:val="both"/>
        <w:rPr>
          <w:rFonts w:ascii="Garamond" w:hAnsi="Garamond"/>
          <w:sz w:val="28"/>
          <w:szCs w:val="28"/>
        </w:rPr>
      </w:pPr>
    </w:p>
    <w:sectPr w:rsidR="00633194" w:rsidRPr="002E23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D0146"/>
    <w:multiLevelType w:val="hybridMultilevel"/>
    <w:tmpl w:val="F6326A9C"/>
    <w:lvl w:ilvl="0" w:tplc="D00039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502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94"/>
    <w:rsid w:val="002E23D4"/>
    <w:rsid w:val="0034194C"/>
    <w:rsid w:val="00633194"/>
    <w:rsid w:val="00870BC8"/>
    <w:rsid w:val="009D34D2"/>
    <w:rsid w:val="00A21C10"/>
    <w:rsid w:val="00B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0EBA"/>
  <w15:chartTrackingRefBased/>
  <w15:docId w15:val="{8031604E-7774-46DC-A3F6-EEB2B516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3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3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31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31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31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31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31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31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31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31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31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31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31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31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31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31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31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31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31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3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31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31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3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31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331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31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3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31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31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rosaagesta@hotmail.com</dc:creator>
  <cp:keywords/>
  <dc:description/>
  <cp:lastModifiedBy>rosaagesta@hotmail.com</cp:lastModifiedBy>
  <cp:revision>3</cp:revision>
  <cp:lastPrinted>2024-11-02T19:35:00Z</cp:lastPrinted>
  <dcterms:created xsi:type="dcterms:W3CDTF">2024-11-02T15:57:00Z</dcterms:created>
  <dcterms:modified xsi:type="dcterms:W3CDTF">2024-11-02T19:35:00Z</dcterms:modified>
</cp:coreProperties>
</file>