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 w:before="36" w:line="240" w:lineRule="auto"/>
        <w:ind w:left="60" w:right="60" w:firstLine="0"/>
        <w:jc w:val="both"/>
        <w:rPr>
          <w:highlight w:val="white"/>
        </w:rPr>
      </w:pPr>
      <w:r w:rsidDel="00000000" w:rsidR="00000000" w:rsidRPr="00000000">
        <w:rPr>
          <w:b w:val="1"/>
          <w:highlight w:val="white"/>
          <w:rtl w:val="0"/>
        </w:rPr>
        <w:t xml:space="preserve">Accidentes automotores. Daño moral. Inconstitucionalidad del art. 7 Ley 23.928. Aplicación de indexación. Actualización monetaria. Límite de cobertura..</w:t>
      </w:r>
      <w:r w:rsidDel="00000000" w:rsidR="00000000" w:rsidRPr="00000000">
        <w:rPr>
          <w:highlight w:val="white"/>
          <w:rtl w:val="0"/>
        </w:rPr>
        <w:t xml:space="preserve"> </w:t>
      </w:r>
      <w:r w:rsidDel="00000000" w:rsidR="00000000" w:rsidRPr="00000000">
        <w:rPr>
          <w:b w:val="1"/>
          <w:highlight w:val="white"/>
          <w:rtl w:val="0"/>
        </w:rPr>
        <w:t xml:space="preserve">Expte. n°: JU-2223-2018 AZCUNE AGUSTIN PATRICIO Y OTROS C/ MALANCHUK NELSON DANIEL S/ DAÑOS Y PERJ.AUTOM. C/LES. O MUERTE (EXC.ESTADO)</w:t>
      </w:r>
      <w:r w:rsidDel="00000000" w:rsidR="00000000" w:rsidRPr="00000000">
        <w:rPr>
          <w:rtl w:val="0"/>
        </w:rPr>
        <w:br w:type="textWrapping"/>
        <w:br w:type="textWrapping"/>
        <w:br w:type="textWrapping"/>
      </w:r>
      <w:r w:rsidDel="00000000" w:rsidR="00000000" w:rsidRPr="00000000">
        <w:rPr>
          <w:rtl w:val="0"/>
        </w:rPr>
      </w:r>
    </w:p>
    <w:p w:rsidR="00000000" w:rsidDel="00000000" w:rsidP="00000000" w:rsidRDefault="00000000" w:rsidRPr="00000000" w14:paraId="00000002">
      <w:pPr>
        <w:numPr>
          <w:ilvl w:val="0"/>
          <w:numId w:val="1"/>
        </w:numPr>
        <w:shd w:fill="ffffff" w:val="clear"/>
        <w:spacing w:after="0" w:afterAutospacing="0" w:before="40" w:line="360" w:lineRule="auto"/>
        <w:ind w:left="720" w:right="80" w:hanging="360"/>
        <w:jc w:val="both"/>
        <w:rPr/>
      </w:pPr>
      <w:r w:rsidDel="00000000" w:rsidR="00000000" w:rsidRPr="00000000">
        <w:rPr>
          <w:rtl w:val="0"/>
        </w:rPr>
        <w:t xml:space="preserve">Los accionantes impugnaron la tasa pasiva ordenada y solicitaron la aplicación de la tasa activa. Manifestaron que es de notorio conocimiento el proceso inflacionario vertiginosamente en alza en nuestro país, que transcurre con proyecciones que superan el 150% de inflación anual; por lo cual, la tasa pasiva más alta del Banco de la Provincia de Buenos Aires, que asciende al 133% anual, resulta a todas luces insuficiente siquiera para mantener el poder adquisitivo de las indemnizaciones otorgadas.</w:t>
      </w:r>
    </w:p>
    <w:p w:rsidR="00000000" w:rsidDel="00000000" w:rsidP="00000000" w:rsidRDefault="00000000" w:rsidRPr="00000000" w14:paraId="00000003">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Cabe señalar que, si bien es cierto que la parte accionante no introdujo estrictamente un planteo de inconstitucionalidad del artículo 7 de la ley 23.928, también lo es que formuló un fundado desarrollo argumental encaminado a demostrar que la mencionada norma, en este caso, contraría la Constitución Nacional. La Suprema Corte de Justicia, habilita a la declaración oficiosa de inconstitucionalidad (ver sentencia de fecha 14/9/2011 recaída en la causa C. 100.285 "R., A. H. c/ Kelly, Santiago y otros s/ Daños y Perjuicios").</w:t>
      </w:r>
    </w:p>
    <w:p w:rsidR="00000000" w:rsidDel="00000000" w:rsidP="00000000" w:rsidRDefault="00000000" w:rsidRPr="00000000" w14:paraId="00000004">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Corresponde abordar el control de constitucionalidad del artículo 7 de la ley 23.928, en línea con la doctrina legal sentada por la Suprema Corte de Justicia en la causa C. 124.096 "Barrios, Héctor Francisco y otra c/ Lascano, Sandra Beatriz y otra s/ Daños y perjuicios" (sent. de 17/04/2024).</w:t>
      </w:r>
    </w:p>
    <w:p w:rsidR="00000000" w:rsidDel="00000000" w:rsidP="00000000" w:rsidRDefault="00000000" w:rsidRPr="00000000" w14:paraId="00000005">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La declaración de inconstitucionalidad de una norma legal ha de tenerse como el último recurso de la labor judicial, al que sólo ha de acudirse cuando la discordancia entre la norma testeada y los principios fundamentales de la Carta Magna, sea manifiesta. En este caso, resulta manifiesta la contradicción entre el derecho de propiedad de los accionantes y la disposición contenida en el artículo 7 de la ley 23.928, en cuanto erradica del ámbito de las obligaciones dinerarias, la actualización monetaria.</w:t>
      </w:r>
    </w:p>
    <w:p w:rsidR="00000000" w:rsidDel="00000000" w:rsidP="00000000" w:rsidRDefault="00000000" w:rsidRPr="00000000" w14:paraId="00000006">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Los trastornos que ocasiona la inflación, impactan negativamente en las relaciones jurídicas, excluyendo el equilibrio negocial y lesionando el contenido sustancial de los derechos patrimoniales. Es que en un contexto del alza generalizada de precios y de depreciación monetaria, la condena al pago de un capital nominal, al que se le adicionan intereses a la tasa pasiva más alta del banco oficial, arroja una pérdida más que considerable en perjuicio del acreedor. Por ello, se impone la adopción de un sistema de actualización del capital, con más una tasa de interés puro.</w:t>
      </w:r>
    </w:p>
    <w:p w:rsidR="00000000" w:rsidDel="00000000" w:rsidP="00000000" w:rsidRDefault="00000000" w:rsidRPr="00000000" w14:paraId="00000007">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El cotejo entre ambos sistemas, revela que la condena al pago de un capital nominal con más intereses a la tasa pasiva, mengua considerablemente el crédito reconocido judicialmente, generando su licuación. El reemplazo de la tasa pasiva por la activa, tampoco preserva la equidad de la prestación, al tiempo de su cumplimiento.</w:t>
      </w:r>
    </w:p>
    <w:p w:rsidR="00000000" w:rsidDel="00000000" w:rsidP="00000000" w:rsidRDefault="00000000" w:rsidRPr="00000000" w14:paraId="00000008">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En lo atinente a las obligaciones de valor, corresponde adoptar un parámetro de referencia para la determinación del valor actualizado de la prestación debida al momento de sentenciar, y a partir de entonces, ajustar la suma emergente de tal operación, por índices de actualización.</w:t>
      </w:r>
    </w:p>
    <w:p w:rsidR="00000000" w:rsidDel="00000000" w:rsidP="00000000" w:rsidRDefault="00000000" w:rsidRPr="00000000" w14:paraId="00000009">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El artículo 7 de la ley 23.928 debe ser declarado inconstitucional en este caso, porque contraría el principio de razonabilidad y el derecho de propiedad de los accionantes (arts. 17 y 28 Const. Nac).</w:t>
      </w:r>
    </w:p>
    <w:p w:rsidR="00000000" w:rsidDel="00000000" w:rsidP="00000000" w:rsidRDefault="00000000" w:rsidRPr="00000000" w14:paraId="0000000A">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Este criterio fue el adoptado por el Dr. Soria, cuyo voto concitó la adhesión de sus colegas en la referida en la causa C. 124.096 "Barrios, Héctor Francisco y otra c/ Lascano, Sandra Beatriz y otra s/ Daños y perjuicios", en la que se modificó la doctrina legal anteriormente imperante acerca de este punto. Ergo corresponde aplicar a los montos indemnizatorios fijados: 1- La tasa de interés moratorio del 6% anual, desde la fecha en que se originaron los perjuicios, hasta la fecha de valuación de los mismos (arts. 772, 1747 y 1748 CCyC). 2- Al monto indemnizatorio fijado, corresponde aplicarle el Indice de Precios al Consumidor (IPC) "Nivel General" (Var Interanual IPC Nacional) publicado por el INDEC en su página web, el que resulta el mecanismo más acorde, en miras de resguardar el valor real de la prestación debida. Sin embargo, tal como lo informa el propio INDEC, los índices de precios se elaboran con frecuencia mensual, a lo que es dable agregar que su publicación no se realiza en forma inmediata, una vez culminado cada mes. Por tal razón, y a fin de evitar los problemas que dicha metodología necesariamente habrá de producir, a los importes de capital receptados en la sentencia, deberá aplicársele el coeficiente de estabilización de referencia (CER) publicado por el B.C.R.A., desde el día en que fuera estimado el perjuicio hasta el fin de dicho mes. A partir del mes siguiente y hasta el último I.P.C. publicado, deberá aplicarse este índice, y a partir de entonces, hasta el efectivo pago o fecha en que se practique liquidación, nuevamente el CER. 3- Al capital actualizado por dicho mecanismo, se le deberá aplicar nuevamente la tasa de interés pura del 6% anual, desde la fecha de estimación del perjuicio y hasta la de su efectivo pago.</w:t>
      </w:r>
    </w:p>
    <w:p w:rsidR="00000000" w:rsidDel="00000000" w:rsidP="00000000" w:rsidRDefault="00000000" w:rsidRPr="00000000" w14:paraId="0000000B">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Los accionantes, además se agraviaron por la actualización del límite de cobertura a la fecha de la sentencia, y solicitaron que sea actualizado hasta la fecha del pago de la liquidación. Resulta útil recordar que, conforme al criterio sentado por la Suprema Corte de Justicia en la causa C.119.088 "Martínez, Emir c/ Boito, Alfredo Alberto s/ Daños y perjuicios", el límite de cobertura debe ser actualizado a los valores vigentes al momento en que los daños fueran mensurados.</w:t>
      </w:r>
    </w:p>
    <w:p w:rsidR="00000000" w:rsidDel="00000000" w:rsidP="00000000" w:rsidRDefault="00000000" w:rsidRPr="00000000" w14:paraId="0000000C">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En la causa C. 124.096 "Barrios, Héctor Francisco y otra c/ Lascano, Sandra Beatriz y otra s/ Daños y perjuicios", esta cuestión fue reseñada, al aludir el Dr. Soria que </w:t>
      </w:r>
      <w:r w:rsidDel="00000000" w:rsidR="00000000" w:rsidRPr="00000000">
        <w:rPr>
          <w:i w:val="1"/>
          <w:rtl w:val="0"/>
        </w:rPr>
        <w:t xml:space="preserve">"....Poco antes se había resuelto el caso "Martínez" (causa C. 119.088, de 21-II-2018). </w:t>
      </w:r>
      <w:r w:rsidDel="00000000" w:rsidR="00000000" w:rsidRPr="00000000">
        <w:rPr>
          <w:b w:val="1"/>
          <w:i w:val="1"/>
          <w:rtl w:val="0"/>
        </w:rPr>
        <w:t xml:space="preserve">Para mantener la justa homogeneidad de los valores implicados y, al mismo tiempo, ajustarse a la realidad económica, este Tribunal condenó a la compañía aseguradora a calcular, al momento de la evaluación judicial del daño, la cuantía de la cobertura básica debida; esto es, no ya según la cifra nominal de la póliza, sino a tono con los montos definidos en la sentencia definitiva</w:t>
      </w:r>
      <w:r w:rsidDel="00000000" w:rsidR="00000000" w:rsidRPr="00000000">
        <w:rPr>
          <w:i w:val="1"/>
          <w:rtl w:val="0"/>
        </w:rPr>
        <w:t xml:space="preserve">. El respeto al valor de la prestación llevó a establecer ese cálculo de la cobertura asegurada, en lugar de considerarla a su monto histórico, lo cual supuso a la vez decidir la inoponibilidad al asegurado y a la víctima de la delimitación cuantitativa del riesgo originariamente estipulada, al menos de una inteligencia literal de su cuantía...."</w:t>
      </w:r>
      <w:r w:rsidDel="00000000" w:rsidR="00000000" w:rsidRPr="00000000">
        <w:rPr>
          <w:rtl w:val="0"/>
        </w:rPr>
        <w:t xml:space="preserve">.-</w:t>
      </w:r>
    </w:p>
    <w:p w:rsidR="00000000" w:rsidDel="00000000" w:rsidP="00000000" w:rsidRDefault="00000000" w:rsidRPr="00000000" w14:paraId="0000000D">
      <w:pPr>
        <w:numPr>
          <w:ilvl w:val="0"/>
          <w:numId w:val="1"/>
        </w:numPr>
        <w:shd w:fill="ffffff" w:val="clear"/>
        <w:spacing w:after="40" w:before="0" w:beforeAutospacing="0" w:line="360" w:lineRule="auto"/>
        <w:ind w:left="720" w:right="80" w:hanging="360"/>
        <w:jc w:val="both"/>
        <w:rPr/>
      </w:pPr>
      <w:r w:rsidDel="00000000" w:rsidR="00000000" w:rsidRPr="00000000">
        <w:rPr>
          <w:rtl w:val="0"/>
        </w:rPr>
        <w:t xml:space="preserve">Este criterio de actualización del límite de la cobertura asegurativa, debe ser reinterpretado a la luz de la declaración de inconstitucionalidad del artículo 7 de la ley 23.928, en cuanto prohíbe la actualización o indexación de obligaciones dinerarias. A partir de ello, y teniendo en cuenta que la real dimensión de la obligación dineraria de la aseguradora, a causa del proceso inflacionario desencadenado, ha quedado notoriamente mermada frente al daño a resarcir, en previsión del cual, fue contratado el seguro; con la finalidad de resguardar la proporción en que el perjuicio a resarcir se encontraba comprendido en de la cobertura contratada, es que el límite de cobertura debe ser actualizado mediante el mismo mecanismo que el establecido para las indemnizaciones determinadas, lógicamente sin intereses, desde a la fecha del hecho, hasta el momento de la sentencia de primera instancia (arts. 109 y 116 ley 17.418).</w:t>
      </w:r>
    </w:p>
    <w:p w:rsidR="00000000" w:rsidDel="00000000" w:rsidP="00000000" w:rsidRDefault="00000000" w:rsidRPr="00000000" w14:paraId="0000000E">
      <w:pPr>
        <w:shd w:fill="ffffff" w:val="clear"/>
        <w:spacing w:after="40" w:before="40" w:line="360" w:lineRule="auto"/>
        <w:ind w:left="720" w:right="80" w:firstLine="0"/>
        <w:jc w:val="both"/>
        <w:rPr>
          <w:color w:val="555555"/>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