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" w:before="36" w:line="240" w:lineRule="auto"/>
        <w:ind w:left="60" w:right="60" w:firstLine="0"/>
        <w:jc w:val="both"/>
        <w:rPr>
          <w:rFonts w:ascii="Calibri" w:cs="Calibri" w:eastAsia="Calibri" w:hAnsi="Calibri"/>
          <w:b w:val="1"/>
          <w:color w:val="555555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Expte. n°: JU-4214-2006 BANCO DE LA PROVINCIA DE BUENOS AIRES C/ CHARI HECTOR SANTOS S/ COBRO EJECUTIVO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Síntesis del Fallo: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Cobro ejecutivo. Cuenta corriente bancaria. Caracteres.  Improcedencia de analizar negocio jurídico subyacente. Tasa de interés judicial y no contractual. Tasa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1.    Los caracteres de literalidad, abstracción y autonomía propios de la naturaleza del certificado de saldo deudor de cuenta corriente, impiden acudir al negocio jurídico subyacente en cuyo marco fue emitido.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2.     Ante ello, la tasa de interés aplicable al capital de condena deben ser determinados judicialmente, no correspondiendo la tasa acordada por las partes en el contrato celebrado por las partes.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3.     Que siendo ello así, corresponde aplicarse los intereses a la tasa activa del Banco de la Provincia de Buenos Aires para sus restantes operaciones en pesos, que es lo que resulta aplicable al saldo deudor en cuenta corriente bancaria.</w:t>
      </w:r>
    </w:p>
    <w:p w:rsidR="00000000" w:rsidDel="00000000" w:rsidP="00000000" w:rsidRDefault="00000000" w:rsidRPr="00000000" w14:paraId="00000009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36" w:before="36" w:line="240" w:lineRule="auto"/>
        <w:ind w:left="60" w:right="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36" w:before="36" w:lineRule="auto"/>
        <w:ind w:left="60" w:right="6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4A4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36B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estilolineacorte" w:customStyle="1">
    <w:name w:val="estilolineacorte"/>
    <w:basedOn w:val="Fuentedeprrafopredeter"/>
    <w:rsid w:val="00F36B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jtKJyCl/RCHykMDcay93zTNPwQ==">CgMxLjA4AHIhMU1TVFJOUlBqWVphbXRzRE9BbnMtbngzVzhPRFpnUTNN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2024-02-26T12:44:00Z</dcterms:created>
  <dc:creator>Janel</dc:creator>
</cp:coreProperties>
</file>