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300" w:lineRule="auto"/>
        <w:ind w:left="144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Mediaciòn. Ley aplicable. Interrupción de la prescripción. Interpretaciòn del art. 2542 CCC y art. 29 Ley 24.573. La interrupción no es aplicable al caso porque este se resuelve de conformidad al art. 40 Ley 13.951 y el CC vigente con anterioridad.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Expediente:  JU - 2781 - 2012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LIVERA GASPAR LUIS EMILIO C/ SQUAGLIA ANGEL ALBERTO S/DAÑOS Y PERJ. DEL./CUAS. (EXC.USO AUT. Y ESTADO).-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300" w:lineRule="auto"/>
        <w:ind w:left="144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40" w:line="360" w:lineRule="auto"/>
        <w:ind w:left="2160" w:right="8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Debe aplicarse la cuestión conforme a las disposiciones del Cód. Civ. y normativa provincial vigentes al momento del inicio del término liberatorio como del acto suspensivo a valorar (conf. art. 7 del C.C.C.)..-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2160" w:right="8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art. 40 de la ley 13.951 de mediación previa obligatoria, estableció que "...</w:t>
      </w:r>
      <w:r w:rsidDel="00000000" w:rsidR="00000000" w:rsidRPr="00000000">
        <w:rPr>
          <w:i w:val="1"/>
          <w:sz w:val="24"/>
          <w:szCs w:val="24"/>
          <w:rtl w:val="0"/>
        </w:rPr>
        <w:t xml:space="preserve">La Mediación Obligatoria prejudicial tendrá carácter de intimación con los efectos previstos en el segundo párrafo del artículo 3986 del Código Civil...</w:t>
      </w:r>
      <w:r w:rsidDel="00000000" w:rsidR="00000000" w:rsidRPr="00000000">
        <w:rPr>
          <w:sz w:val="24"/>
          <w:szCs w:val="24"/>
          <w:rtl w:val="0"/>
        </w:rPr>
        <w:t xml:space="preserve">."; y que el decreto reglamentario 2.530/2010 -vigente a la época en que se realizó la mediación previa de autos-, establecía en su art. 31 de su anexo único que: "</w:t>
      </w:r>
      <w:r w:rsidDel="00000000" w:rsidR="00000000" w:rsidRPr="00000000">
        <w:rPr>
          <w:i w:val="1"/>
          <w:sz w:val="24"/>
          <w:szCs w:val="24"/>
          <w:rtl w:val="0"/>
        </w:rPr>
        <w:t xml:space="preserve">Suspensión de la prescripción. La suspensión de la prescripción liberatoria en los términos y con los efectos previstos en el segundo párrafo del artículo 3986 del Código Civil, se cuenta desde que el reclamante formaliza su pretensión ante la Receptoría General de Expedientes o Juzgado descentralizado y opera contra todos los requeridos.``.</w:t>
      </w:r>
      <w:r w:rsidDel="00000000" w:rsidR="00000000" w:rsidRPr="00000000">
        <w:rPr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2160" w:right="8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inicio de la mediación obligatoria fue legalmente asimilada por la normativa transcrita a la constitución en mora por medio fehaciente prevista por la segunda parte del art. 3.986 del Cód. Civ., el cual establece que: "</w:t>
      </w:r>
      <w:r w:rsidDel="00000000" w:rsidR="00000000" w:rsidRPr="00000000">
        <w:rPr>
          <w:i w:val="1"/>
          <w:sz w:val="24"/>
          <w:szCs w:val="24"/>
          <w:rtl w:val="0"/>
        </w:rPr>
        <w:t xml:space="preserve">Esta suspensión sólo tendrá efecto durante un año o el menor término que pudiera corresponder a la prescripción de la acción".-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2160" w:right="8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</w:t>
      </w:r>
      <w:r w:rsidDel="00000000" w:rsidR="00000000" w:rsidRPr="00000000">
        <w:rPr>
          <w:sz w:val="24"/>
          <w:szCs w:val="24"/>
          <w:rtl w:val="0"/>
        </w:rPr>
        <w:t xml:space="preserve">a normativa que reguló la mediación obligatoria en la provincia, a diferencia de su equivalente nacional (art. 29 de la Ley 24.573 y art. 28 del Dec. Reglamentario 91/1998) y de lo normado por el nuevo C.C.C. en su artículo 2.542, no limitó la duración de la suspensión a los 20 días de culminado el trámite de mediación, efectuando la remisión a los efectos del segundo párrafo del art. 3986 del Cód. Civ. sin efectuar salvedad alguna.-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0" w:beforeAutospacing="0" w:line="360" w:lineRule="auto"/>
        <w:ind w:left="2160" w:right="80" w:hanging="36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coincide con el recurrente en cuanto postula que al momento de iniciarse el trámite de la mediación previa obligatoria (23/05/2012), la misma suspendía la prescripción en curso por el término de un año, de donde surge que al momento de interponerse la demanda (19/11/2012), la acción no se encontraba prescripta (conf. arts. 3.986, 4.037 y ccdtes. del Cód. Civ.).-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before="30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