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2B49" w:rsidRDefault="00954538">
      <w:pPr>
        <w:widowControl w:val="0"/>
        <w:pBdr>
          <w:top w:val="nil"/>
          <w:left w:val="nil"/>
          <w:bottom w:val="nil"/>
          <w:right w:val="nil"/>
          <w:between w:val="nil"/>
        </w:pBdr>
        <w:spacing w:line="240" w:lineRule="auto"/>
        <w:ind w:left="1161"/>
        <w:rPr>
          <w:rFonts w:ascii="Century Gothic" w:eastAsia="Century Gothic" w:hAnsi="Century Gothic" w:cs="Century Gothic"/>
          <w:color w:val="000000"/>
        </w:rPr>
      </w:pPr>
      <w:r>
        <w:rPr>
          <w:rFonts w:ascii="Century Gothic" w:eastAsia="Century Gothic" w:hAnsi="Century Gothic" w:cs="Century Gothic"/>
          <w:color w:val="000000"/>
        </w:rPr>
        <w:t xml:space="preserve">Neuquén, 30 de septiembre del año 2020- </w:t>
      </w:r>
    </w:p>
    <w:p w14:paraId="00000002" w14:textId="77777777" w:rsidR="00C82B49" w:rsidRDefault="00954538">
      <w:pPr>
        <w:widowControl w:val="0"/>
        <w:pBdr>
          <w:top w:val="nil"/>
          <w:left w:val="nil"/>
          <w:bottom w:val="nil"/>
          <w:right w:val="nil"/>
          <w:between w:val="nil"/>
        </w:pBdr>
        <w:spacing w:before="528" w:line="357" w:lineRule="auto"/>
        <w:ind w:left="1152" w:right="-1" w:firstLine="1415"/>
        <w:jc w:val="both"/>
        <w:rPr>
          <w:rFonts w:ascii="Century Gothic" w:eastAsia="Century Gothic" w:hAnsi="Century Gothic" w:cs="Century Gothic"/>
          <w:color w:val="000000"/>
        </w:rPr>
      </w:pPr>
      <w:r>
        <w:rPr>
          <w:rFonts w:ascii="Century Gothic" w:eastAsia="Century Gothic" w:hAnsi="Century Gothic" w:cs="Century Gothic"/>
          <w:color w:val="000000"/>
        </w:rPr>
        <w:t>Antes de iniciar el análisis de la presente demanda y en respeto al  deseo de M. de no conocer el sexo, nombre ni dato alguno relativo al niñx</w:t>
      </w:r>
      <w:r>
        <w:rPr>
          <w:rFonts w:ascii="Century Gothic" w:eastAsia="Century Gothic" w:hAnsi="Century Gothic" w:cs="Century Gothic"/>
          <w:color w:val="000000"/>
          <w:sz w:val="23"/>
          <w:szCs w:val="23"/>
          <w:vertAlign w:val="superscript"/>
        </w:rPr>
        <w:t>1</w:t>
      </w:r>
      <w:r>
        <w:rPr>
          <w:rFonts w:ascii="Century Gothic" w:eastAsia="Century Gothic" w:hAnsi="Century Gothic" w:cs="Century Gothic"/>
          <w:color w:val="000000"/>
        </w:rPr>
        <w:t xml:space="preserve">, aclaro que me referiré a él con las iniciales “L.R.”, dejando expresa constancia  que los pronombres masculinos utilizados no responden a una asignación de  género, sino que se utilizarán a los fines de permitir una lectura más sencilla de  la sentencia. </w:t>
      </w:r>
    </w:p>
    <w:p w14:paraId="00000003" w14:textId="77777777" w:rsidR="00C82B49" w:rsidRDefault="00954538">
      <w:pPr>
        <w:widowControl w:val="0"/>
        <w:pBdr>
          <w:top w:val="nil"/>
          <w:left w:val="nil"/>
          <w:bottom w:val="nil"/>
          <w:right w:val="nil"/>
          <w:between w:val="nil"/>
        </w:pBdr>
        <w:spacing w:before="436" w:line="357" w:lineRule="auto"/>
        <w:ind w:left="1151" w:right="-4" w:firstLine="1417"/>
        <w:jc w:val="both"/>
        <w:rPr>
          <w:rFonts w:ascii="Century Gothic" w:eastAsia="Century Gothic" w:hAnsi="Century Gothic" w:cs="Century Gothic"/>
          <w:color w:val="000000"/>
        </w:rPr>
      </w:pPr>
      <w:r>
        <w:rPr>
          <w:rFonts w:ascii="Century Gothic" w:eastAsia="Century Gothic" w:hAnsi="Century Gothic" w:cs="Century Gothic"/>
          <w:b/>
          <w:color w:val="000000"/>
          <w:u w:val="single"/>
        </w:rPr>
        <w:t>VISTOS</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los autos caratulados "N.N. S/MEDIDA DE PROTECCION  EXCEPCIONAL DE NIÑOS Y ADOLESCENTES” (</w:t>
      </w:r>
      <w:proofErr w:type="spellStart"/>
      <w:r>
        <w:rPr>
          <w:rFonts w:ascii="Century Gothic" w:eastAsia="Century Gothic" w:hAnsi="Century Gothic" w:cs="Century Gothic"/>
          <w:color w:val="000000"/>
        </w:rPr>
        <w:t>Expte</w:t>
      </w:r>
      <w:proofErr w:type="spellEnd"/>
      <w:r>
        <w:rPr>
          <w:rFonts w:ascii="Century Gothic" w:eastAsia="Century Gothic" w:hAnsi="Century Gothic" w:cs="Century Gothic"/>
          <w:color w:val="000000"/>
        </w:rPr>
        <w:t xml:space="preserve">. Nro. 125927 / 2020), que  tramitan en el Juzgado de Familia, Niñez y Adolescencia número 2 de la  Ciudad de Neuquén, a cargo de la Dra. María Gabriela Ávila, y de los cuales  </w:t>
      </w:r>
    </w:p>
    <w:p w14:paraId="00000004" w14:textId="77777777" w:rsidR="00C82B49" w:rsidRPr="00F156C4" w:rsidRDefault="00954538">
      <w:pPr>
        <w:widowControl w:val="0"/>
        <w:pBdr>
          <w:top w:val="nil"/>
          <w:left w:val="nil"/>
          <w:bottom w:val="nil"/>
          <w:right w:val="nil"/>
          <w:between w:val="nil"/>
        </w:pBdr>
        <w:spacing w:before="436" w:line="357" w:lineRule="auto"/>
        <w:ind w:left="1147" w:firstLine="1434"/>
        <w:jc w:val="both"/>
        <w:rPr>
          <w:rFonts w:ascii="Century Gothic" w:eastAsia="Century Gothic" w:hAnsi="Century Gothic" w:cs="Century Gothic"/>
          <w:color w:val="000000"/>
          <w:highlight w:val="yellow"/>
        </w:rPr>
      </w:pPr>
      <w:r>
        <w:rPr>
          <w:rFonts w:ascii="Century Gothic" w:eastAsia="Century Gothic" w:hAnsi="Century Gothic" w:cs="Century Gothic"/>
          <w:b/>
          <w:color w:val="000000"/>
          <w:u w:val="single"/>
        </w:rPr>
        <w:t>RESULTA:</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Que en fecha 10/8/2020 </w:t>
      </w:r>
      <w:r w:rsidRPr="00F156C4">
        <w:rPr>
          <w:rFonts w:ascii="Century Gothic" w:eastAsia="Century Gothic" w:hAnsi="Century Gothic" w:cs="Century Gothic"/>
          <w:color w:val="000000"/>
          <w:highlight w:val="yellow"/>
        </w:rPr>
        <w:t xml:space="preserve">se presenta la Defensora de los  Derechos del Niño y el Adolescente, relatando que recientemente había  nacido un </w:t>
      </w:r>
      <w:proofErr w:type="spellStart"/>
      <w:r w:rsidRPr="00F156C4">
        <w:rPr>
          <w:rFonts w:ascii="Century Gothic" w:eastAsia="Century Gothic" w:hAnsi="Century Gothic" w:cs="Century Gothic"/>
          <w:color w:val="000000"/>
          <w:highlight w:val="yellow"/>
        </w:rPr>
        <w:t>niñx</w:t>
      </w:r>
      <w:proofErr w:type="spellEnd"/>
      <w:r w:rsidRPr="00F156C4">
        <w:rPr>
          <w:rFonts w:ascii="Century Gothic" w:eastAsia="Century Gothic" w:hAnsi="Century Gothic" w:cs="Century Gothic"/>
          <w:color w:val="000000"/>
          <w:highlight w:val="yellow"/>
        </w:rPr>
        <w:t xml:space="preserve">, </w:t>
      </w:r>
      <w:proofErr w:type="spellStart"/>
      <w:r w:rsidRPr="00F156C4">
        <w:rPr>
          <w:rFonts w:ascii="Century Gothic" w:eastAsia="Century Gothic" w:hAnsi="Century Gothic" w:cs="Century Gothic"/>
          <w:color w:val="000000"/>
          <w:highlight w:val="yellow"/>
        </w:rPr>
        <w:t>hijx</w:t>
      </w:r>
      <w:proofErr w:type="spellEnd"/>
      <w:r w:rsidRPr="00F156C4">
        <w:rPr>
          <w:rFonts w:ascii="Century Gothic" w:eastAsia="Century Gothic" w:hAnsi="Century Gothic" w:cs="Century Gothic"/>
          <w:color w:val="000000"/>
          <w:highlight w:val="yellow"/>
        </w:rPr>
        <w:t xml:space="preserve"> de L.R., y que ella en reiteradas instancias había expresado  su deseo de otorgar al </w:t>
      </w:r>
      <w:proofErr w:type="spellStart"/>
      <w:r w:rsidRPr="00F156C4">
        <w:rPr>
          <w:rFonts w:ascii="Century Gothic" w:eastAsia="Century Gothic" w:hAnsi="Century Gothic" w:cs="Century Gothic"/>
          <w:color w:val="000000"/>
          <w:highlight w:val="yellow"/>
        </w:rPr>
        <w:t>niñx</w:t>
      </w:r>
      <w:proofErr w:type="spellEnd"/>
      <w:r w:rsidRPr="00F156C4">
        <w:rPr>
          <w:rFonts w:ascii="Century Gothic" w:eastAsia="Century Gothic" w:hAnsi="Century Gothic" w:cs="Century Gothic"/>
          <w:color w:val="000000"/>
          <w:highlight w:val="yellow"/>
        </w:rPr>
        <w:t xml:space="preserve"> en adopción. </w:t>
      </w:r>
    </w:p>
    <w:p w14:paraId="00000005" w14:textId="77777777" w:rsidR="00C82B49" w:rsidRPr="00F156C4" w:rsidRDefault="00954538">
      <w:pPr>
        <w:widowControl w:val="0"/>
        <w:pBdr>
          <w:top w:val="nil"/>
          <w:left w:val="nil"/>
          <w:bottom w:val="nil"/>
          <w:right w:val="nil"/>
          <w:between w:val="nil"/>
        </w:pBdr>
        <w:spacing w:before="31" w:line="357" w:lineRule="auto"/>
        <w:ind w:left="1156" w:right="-4" w:firstLine="1426"/>
        <w:jc w:val="both"/>
        <w:rPr>
          <w:rFonts w:ascii="Century Gothic" w:eastAsia="Century Gothic" w:hAnsi="Century Gothic" w:cs="Century Gothic"/>
          <w:color w:val="000000"/>
          <w:highlight w:val="yellow"/>
        </w:rPr>
      </w:pPr>
      <w:r w:rsidRPr="00F156C4">
        <w:rPr>
          <w:rFonts w:ascii="Century Gothic" w:eastAsia="Century Gothic" w:hAnsi="Century Gothic" w:cs="Century Gothic"/>
          <w:color w:val="000000"/>
          <w:highlight w:val="yellow"/>
        </w:rPr>
        <w:t xml:space="preserve">Refiere que antes del nacimiento hizo saber que quería que se le  practique cesárea con anestesia total y que no deseaba saber si el </w:t>
      </w:r>
      <w:proofErr w:type="spellStart"/>
      <w:r w:rsidRPr="00F156C4">
        <w:rPr>
          <w:rFonts w:ascii="Century Gothic" w:eastAsia="Century Gothic" w:hAnsi="Century Gothic" w:cs="Century Gothic"/>
          <w:color w:val="000000"/>
          <w:highlight w:val="yellow"/>
        </w:rPr>
        <w:t>niñx</w:t>
      </w:r>
      <w:proofErr w:type="spellEnd"/>
      <w:r w:rsidRPr="00F156C4">
        <w:rPr>
          <w:rFonts w:ascii="Century Gothic" w:eastAsia="Century Gothic" w:hAnsi="Century Gothic" w:cs="Century Gothic"/>
          <w:color w:val="000000"/>
          <w:highlight w:val="yellow"/>
        </w:rPr>
        <w:t xml:space="preserve"> había  nacido, si estaba con vida, qué sexo sería, cuánto pesaría. Que todas las  manifestaciones de voluntad fueron respetadas desde el Hospital donde dio a  luz y por parte de </w:t>
      </w:r>
      <w:proofErr w:type="spellStart"/>
      <w:r w:rsidRPr="00F156C4">
        <w:rPr>
          <w:rFonts w:ascii="Century Gothic" w:eastAsia="Century Gothic" w:hAnsi="Century Gothic" w:cs="Century Gothic"/>
          <w:color w:val="000000"/>
          <w:highlight w:val="yellow"/>
        </w:rPr>
        <w:t>lxs</w:t>
      </w:r>
      <w:proofErr w:type="spellEnd"/>
      <w:r w:rsidRPr="00F156C4">
        <w:rPr>
          <w:rFonts w:ascii="Century Gothic" w:eastAsia="Century Gothic" w:hAnsi="Century Gothic" w:cs="Century Gothic"/>
          <w:color w:val="000000"/>
          <w:highlight w:val="yellow"/>
        </w:rPr>
        <w:t xml:space="preserve"> profesionales que han abordado su situación durante el  nacimiento y hasta su alta hospitalaria, producida el 7 de agosto. </w:t>
      </w:r>
    </w:p>
    <w:p w14:paraId="00000006" w14:textId="77777777" w:rsidR="00C82B49" w:rsidRDefault="00954538">
      <w:pPr>
        <w:widowControl w:val="0"/>
        <w:pBdr>
          <w:top w:val="nil"/>
          <w:left w:val="nil"/>
          <w:bottom w:val="nil"/>
          <w:right w:val="nil"/>
          <w:between w:val="nil"/>
        </w:pBdr>
        <w:spacing w:before="25" w:line="357" w:lineRule="auto"/>
        <w:ind w:left="1153" w:right="-2" w:firstLine="1414"/>
        <w:jc w:val="both"/>
        <w:rPr>
          <w:rFonts w:ascii="Century Gothic" w:eastAsia="Century Gothic" w:hAnsi="Century Gothic" w:cs="Century Gothic"/>
          <w:color w:val="000000"/>
        </w:rPr>
      </w:pPr>
      <w:r w:rsidRPr="00F156C4">
        <w:rPr>
          <w:rFonts w:ascii="Century Gothic" w:eastAsia="Century Gothic" w:hAnsi="Century Gothic" w:cs="Century Gothic"/>
          <w:color w:val="000000"/>
          <w:highlight w:val="yellow"/>
        </w:rPr>
        <w:t xml:space="preserve">Agrega que M. ha expresado que no desea que el </w:t>
      </w:r>
      <w:proofErr w:type="spellStart"/>
      <w:r w:rsidRPr="00F156C4">
        <w:rPr>
          <w:rFonts w:ascii="Century Gothic" w:eastAsia="Century Gothic" w:hAnsi="Century Gothic" w:cs="Century Gothic"/>
          <w:color w:val="000000"/>
          <w:highlight w:val="yellow"/>
        </w:rPr>
        <w:t>niñx</w:t>
      </w:r>
      <w:proofErr w:type="spellEnd"/>
      <w:r w:rsidRPr="00F156C4">
        <w:rPr>
          <w:rFonts w:ascii="Century Gothic" w:eastAsia="Century Gothic" w:hAnsi="Century Gothic" w:cs="Century Gothic"/>
          <w:color w:val="000000"/>
          <w:highlight w:val="yellow"/>
        </w:rPr>
        <w:t xml:space="preserve"> permanezca en el entorno familiar, que ello le generaría a ella una grave  afectación emocional, manifestando categóricamente su negativa de  cualquier tipo de convocatoria a la familia de origen a efectos de evaluar a la  misma para asumir el cuidado del </w:t>
      </w:r>
      <w:proofErr w:type="spellStart"/>
      <w:r w:rsidRPr="00F156C4">
        <w:rPr>
          <w:rFonts w:ascii="Century Gothic" w:eastAsia="Century Gothic" w:hAnsi="Century Gothic" w:cs="Century Gothic"/>
          <w:color w:val="000000"/>
          <w:highlight w:val="yellow"/>
        </w:rPr>
        <w:t>niñx</w:t>
      </w:r>
      <w:proofErr w:type="spellEnd"/>
      <w:r w:rsidRPr="00F156C4">
        <w:rPr>
          <w:rFonts w:ascii="Century Gothic" w:eastAsia="Century Gothic" w:hAnsi="Century Gothic" w:cs="Century Gothic"/>
          <w:color w:val="000000"/>
          <w:highlight w:val="yellow"/>
        </w:rPr>
        <w:t>, al punto tal que ha dado su domicilio</w:t>
      </w:r>
      <w:r>
        <w:rPr>
          <w:rFonts w:ascii="Century Gothic" w:eastAsia="Century Gothic" w:hAnsi="Century Gothic" w:cs="Century Gothic"/>
          <w:color w:val="000000"/>
        </w:rPr>
        <w:t xml:space="preserve">  </w:t>
      </w:r>
    </w:p>
    <w:p w14:paraId="00000007" w14:textId="77777777" w:rsidR="00C82B49" w:rsidRDefault="00954538">
      <w:pPr>
        <w:widowControl w:val="0"/>
        <w:pBdr>
          <w:top w:val="nil"/>
          <w:left w:val="nil"/>
          <w:bottom w:val="nil"/>
          <w:right w:val="nil"/>
          <w:between w:val="nil"/>
        </w:pBdr>
        <w:spacing w:before="925" w:line="245" w:lineRule="auto"/>
        <w:ind w:left="1147" w:right="158" w:firstLine="6"/>
        <w:rPr>
          <w:rFonts w:ascii="Calibri" w:eastAsia="Calibri" w:hAnsi="Calibri" w:cs="Calibri"/>
          <w:color w:val="000000"/>
        </w:rPr>
      </w:pPr>
      <w:r>
        <w:rPr>
          <w:rFonts w:ascii="Calibri" w:eastAsia="Calibri" w:hAnsi="Calibri" w:cs="Calibri"/>
          <w:color w:val="000000"/>
          <w:sz w:val="23"/>
          <w:szCs w:val="23"/>
          <w:vertAlign w:val="superscript"/>
        </w:rPr>
        <w:lastRenderedPageBreak/>
        <w:t xml:space="preserve">1 </w:t>
      </w:r>
      <w:r>
        <w:rPr>
          <w:rFonts w:ascii="Calibri" w:eastAsia="Calibri" w:hAnsi="Calibri" w:cs="Calibri"/>
          <w:color w:val="000000"/>
        </w:rPr>
        <w:t>Se empleará la “x” en reemplazo de las letras “a” u “o” a los fines de evitar hacer mención al  género.</w:t>
      </w:r>
    </w:p>
    <w:p w14:paraId="00000008" w14:textId="77777777" w:rsidR="00C82B49" w:rsidRDefault="00954538">
      <w:pPr>
        <w:widowControl w:val="0"/>
        <w:pBdr>
          <w:top w:val="nil"/>
          <w:left w:val="nil"/>
          <w:bottom w:val="nil"/>
          <w:right w:val="nil"/>
          <w:between w:val="nil"/>
        </w:pBdr>
        <w:spacing w:line="354" w:lineRule="auto"/>
        <w:ind w:left="18" w:right="1143"/>
        <w:rPr>
          <w:rFonts w:ascii="Century Gothic" w:eastAsia="Century Gothic" w:hAnsi="Century Gothic" w:cs="Century Gothic"/>
          <w:color w:val="000000"/>
        </w:rPr>
      </w:pPr>
      <w:r w:rsidRPr="00F156C4">
        <w:rPr>
          <w:rFonts w:ascii="Century Gothic" w:eastAsia="Century Gothic" w:hAnsi="Century Gothic" w:cs="Century Gothic"/>
          <w:color w:val="000000"/>
          <w:highlight w:val="yellow"/>
        </w:rPr>
        <w:t>en la ciudad de Neuquén, ya que su familia desconoce el embarazo y el  actual nacimiento del niño.</w:t>
      </w:r>
      <w:r>
        <w:rPr>
          <w:rFonts w:ascii="Century Gothic" w:eastAsia="Century Gothic" w:hAnsi="Century Gothic" w:cs="Century Gothic"/>
          <w:color w:val="000000"/>
        </w:rPr>
        <w:t xml:space="preserve"> </w:t>
      </w:r>
    </w:p>
    <w:p w14:paraId="00000009" w14:textId="77777777" w:rsidR="00C82B49" w:rsidRDefault="00954538">
      <w:pPr>
        <w:widowControl w:val="0"/>
        <w:pBdr>
          <w:top w:val="nil"/>
          <w:left w:val="nil"/>
          <w:bottom w:val="nil"/>
          <w:right w:val="nil"/>
          <w:between w:val="nil"/>
        </w:pBdr>
        <w:spacing w:before="33" w:line="356" w:lineRule="auto"/>
        <w:ind w:left="17" w:right="1141" w:firstLine="14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Expresa la Defensora del Niño que, a pesar de haberle informado  respecto de la normativa vigente, se ha mantenido en esa postura, solicitando  que la misma sea respetada. </w:t>
      </w:r>
    </w:p>
    <w:p w14:paraId="0000000A" w14:textId="77777777" w:rsidR="00C82B49" w:rsidRDefault="00954538">
      <w:pPr>
        <w:widowControl w:val="0"/>
        <w:pBdr>
          <w:top w:val="nil"/>
          <w:left w:val="nil"/>
          <w:bottom w:val="nil"/>
          <w:right w:val="nil"/>
          <w:between w:val="nil"/>
        </w:pBdr>
        <w:spacing w:before="31" w:line="354" w:lineRule="auto"/>
        <w:ind w:left="9" w:right="1133" w:firstLine="1420"/>
        <w:rPr>
          <w:rFonts w:ascii="Century Gothic" w:eastAsia="Century Gothic" w:hAnsi="Century Gothic" w:cs="Century Gothic"/>
          <w:color w:val="000000"/>
        </w:rPr>
      </w:pPr>
      <w:r w:rsidRPr="00F156C4">
        <w:rPr>
          <w:rFonts w:ascii="Century Gothic" w:eastAsia="Century Gothic" w:hAnsi="Century Gothic" w:cs="Century Gothic"/>
          <w:color w:val="000000"/>
          <w:highlight w:val="yellow"/>
        </w:rPr>
        <w:t xml:space="preserve">Solicita la incorporación del </w:t>
      </w:r>
      <w:proofErr w:type="spellStart"/>
      <w:r w:rsidRPr="00F156C4">
        <w:rPr>
          <w:rFonts w:ascii="Century Gothic" w:eastAsia="Century Gothic" w:hAnsi="Century Gothic" w:cs="Century Gothic"/>
          <w:color w:val="000000"/>
          <w:highlight w:val="yellow"/>
        </w:rPr>
        <w:t>niñx</w:t>
      </w:r>
      <w:proofErr w:type="spellEnd"/>
      <w:r w:rsidRPr="00F156C4">
        <w:rPr>
          <w:rFonts w:ascii="Century Gothic" w:eastAsia="Century Gothic" w:hAnsi="Century Gothic" w:cs="Century Gothic"/>
          <w:color w:val="000000"/>
          <w:highlight w:val="yellow"/>
        </w:rPr>
        <w:t xml:space="preserve"> a un programa de Familias  Solidarias dependiente del Ministerio de Desarrollo Social.</w:t>
      </w:r>
      <w:r>
        <w:rPr>
          <w:rFonts w:ascii="Century Gothic" w:eastAsia="Century Gothic" w:hAnsi="Century Gothic" w:cs="Century Gothic"/>
          <w:color w:val="000000"/>
        </w:rPr>
        <w:t xml:space="preserve">  </w:t>
      </w:r>
    </w:p>
    <w:p w14:paraId="0000000B" w14:textId="77777777" w:rsidR="00C82B49" w:rsidRDefault="00954538">
      <w:pPr>
        <w:widowControl w:val="0"/>
        <w:pBdr>
          <w:top w:val="nil"/>
          <w:left w:val="nil"/>
          <w:bottom w:val="nil"/>
          <w:right w:val="nil"/>
          <w:between w:val="nil"/>
        </w:pBdr>
        <w:spacing w:before="33" w:line="240" w:lineRule="auto"/>
        <w:ind w:left="1439"/>
        <w:rPr>
          <w:rFonts w:ascii="Century Gothic" w:eastAsia="Century Gothic" w:hAnsi="Century Gothic" w:cs="Century Gothic"/>
          <w:color w:val="000000"/>
        </w:rPr>
      </w:pPr>
      <w:r>
        <w:rPr>
          <w:rFonts w:ascii="Century Gothic" w:eastAsia="Century Gothic" w:hAnsi="Century Gothic" w:cs="Century Gothic"/>
          <w:color w:val="000000"/>
        </w:rPr>
        <w:t xml:space="preserve">Ofrece prueba y funda en derecho. </w:t>
      </w:r>
    </w:p>
    <w:p w14:paraId="0000000C" w14:textId="77777777" w:rsidR="00C82B49" w:rsidRDefault="00954538">
      <w:pPr>
        <w:widowControl w:val="0"/>
        <w:pBdr>
          <w:top w:val="nil"/>
          <w:left w:val="nil"/>
          <w:bottom w:val="nil"/>
          <w:right w:val="nil"/>
          <w:between w:val="nil"/>
        </w:pBdr>
        <w:spacing w:before="138" w:line="240" w:lineRule="auto"/>
        <w:ind w:left="1446"/>
        <w:rPr>
          <w:rFonts w:ascii="Century Gothic" w:eastAsia="Century Gothic" w:hAnsi="Century Gothic" w:cs="Century Gothic"/>
          <w:color w:val="000000"/>
        </w:rPr>
      </w:pPr>
      <w:r>
        <w:rPr>
          <w:rFonts w:ascii="Century Gothic" w:eastAsia="Century Gothic" w:hAnsi="Century Gothic" w:cs="Century Gothic"/>
          <w:color w:val="000000"/>
        </w:rPr>
        <w:t xml:space="preserve">De la documental acompañada surge lo siguiente:  </w:t>
      </w:r>
    </w:p>
    <w:p w14:paraId="0000000D" w14:textId="77777777" w:rsidR="00C82B49" w:rsidRDefault="00954538">
      <w:pPr>
        <w:widowControl w:val="0"/>
        <w:pBdr>
          <w:top w:val="nil"/>
          <w:left w:val="nil"/>
          <w:bottom w:val="nil"/>
          <w:right w:val="nil"/>
          <w:between w:val="nil"/>
        </w:pBdr>
        <w:spacing w:before="133" w:line="357" w:lineRule="auto"/>
        <w:ind w:left="12" w:right="1132"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Un informe psicosocial elaborado por </w:t>
      </w:r>
      <w:proofErr w:type="spellStart"/>
      <w:r>
        <w:rPr>
          <w:rFonts w:ascii="Century Gothic" w:eastAsia="Century Gothic" w:hAnsi="Century Gothic" w:cs="Century Gothic"/>
          <w:color w:val="000000"/>
        </w:rPr>
        <w:t>lxs</w:t>
      </w:r>
      <w:proofErr w:type="spellEnd"/>
      <w:r>
        <w:rPr>
          <w:rFonts w:ascii="Century Gothic" w:eastAsia="Century Gothic" w:hAnsi="Century Gothic" w:cs="Century Gothic"/>
          <w:color w:val="000000"/>
        </w:rPr>
        <w:t xml:space="preserve"> profesionales  intervinientes del Hospital </w:t>
      </w:r>
      <w:proofErr w:type="spellStart"/>
      <w:r>
        <w:rPr>
          <w:rFonts w:ascii="Century Gothic" w:eastAsia="Century Gothic" w:hAnsi="Century Gothic" w:cs="Century Gothic"/>
          <w:color w:val="000000"/>
        </w:rPr>
        <w:t>Heller</w:t>
      </w:r>
      <w:proofErr w:type="spellEnd"/>
      <w:r>
        <w:rPr>
          <w:rFonts w:ascii="Century Gothic" w:eastAsia="Century Gothic" w:hAnsi="Century Gothic" w:cs="Century Gothic"/>
          <w:color w:val="000000"/>
        </w:rPr>
        <w:t xml:space="preserve">. Allí dan cuenta que M. se encontraba  cursando un embarazo a término, sin controles, y que ha expresado su  voluntad de dar en adopción al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w:t>
      </w:r>
    </w:p>
    <w:p w14:paraId="0000000E" w14:textId="77777777" w:rsidR="00C82B49" w:rsidRDefault="00954538">
      <w:pPr>
        <w:widowControl w:val="0"/>
        <w:pBdr>
          <w:top w:val="nil"/>
          <w:left w:val="nil"/>
          <w:bottom w:val="nil"/>
          <w:right w:val="nil"/>
          <w:between w:val="nil"/>
        </w:pBdr>
        <w:spacing w:before="31" w:line="357" w:lineRule="auto"/>
        <w:ind w:left="17" w:right="1131" w:firstLine="142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Mencionan que M. habría expresado que, al momento de  confirmar su embarazo, manifestó su deseo de interrumpirlo, haciendo  hincapié en que ello no había sido planificado y que no se condice con el  momento de la vida en la que se encuentra. Que, habiéndose constatado la  edad estacional por fuera de los protocolos de acceso a la Interrupción Legal  del Embarazo, se definió una estrategia alternativa. </w:t>
      </w:r>
    </w:p>
    <w:p w14:paraId="0000000F" w14:textId="77777777" w:rsidR="00C82B49" w:rsidRDefault="00954538">
      <w:pPr>
        <w:widowControl w:val="0"/>
        <w:pBdr>
          <w:top w:val="nil"/>
          <w:left w:val="nil"/>
          <w:bottom w:val="nil"/>
          <w:right w:val="nil"/>
          <w:between w:val="nil"/>
        </w:pBdr>
        <w:spacing w:before="30" w:line="357" w:lineRule="auto"/>
        <w:ind w:left="12" w:right="1130"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Expresan que M. presenta un fuerte rechazo hacia su cuerpo, al  embarazo, angustia, inestabilidad emocional, dificultades para dormir, para  alimentarse. Que no posee ingresos propios y cursa el último año del  secundario. Agregan que actualmente convive con su madre, quien  desconoce la situación por expresa decisión de M. de no comunicarle a ella ni  a </w:t>
      </w:r>
      <w:proofErr w:type="spellStart"/>
      <w:r>
        <w:rPr>
          <w:rFonts w:ascii="Century Gothic" w:eastAsia="Century Gothic" w:hAnsi="Century Gothic" w:cs="Century Gothic"/>
          <w:color w:val="000000"/>
        </w:rPr>
        <w:t>otrx</w:t>
      </w:r>
      <w:proofErr w:type="spellEnd"/>
      <w:r>
        <w:rPr>
          <w:rFonts w:ascii="Century Gothic" w:eastAsia="Century Gothic" w:hAnsi="Century Gothic" w:cs="Century Gothic"/>
          <w:color w:val="000000"/>
        </w:rPr>
        <w:t xml:space="preserve"> integrante de su entorno. Que ha referido no concebir la posibilidad de que su red actúe como soporte de la crianza de un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ni que asuma el  cuidado del mismo bajo ninguna circunstancia. Que M. ha expresado que, si  algún integrante de su red familiar conociese la situación, actuaría como  obstaculizadora de su voluntad, manifestando gran temor ante la idea de  quedar excluida tanto económica como afectivamente del núcleo familiar.  </w:t>
      </w:r>
    </w:p>
    <w:p w14:paraId="00000010" w14:textId="77777777" w:rsidR="00C82B49" w:rsidRDefault="00954538">
      <w:pPr>
        <w:widowControl w:val="0"/>
        <w:pBdr>
          <w:top w:val="nil"/>
          <w:left w:val="nil"/>
          <w:bottom w:val="nil"/>
          <w:right w:val="nil"/>
          <w:between w:val="nil"/>
        </w:pBdr>
        <w:spacing w:before="30" w:line="356" w:lineRule="auto"/>
        <w:ind w:left="12" w:right="1135" w:firstLine="1426"/>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Consideran </w:t>
      </w:r>
      <w:proofErr w:type="spellStart"/>
      <w:r>
        <w:rPr>
          <w:rFonts w:ascii="Century Gothic" w:eastAsia="Century Gothic" w:hAnsi="Century Gothic" w:cs="Century Gothic"/>
          <w:color w:val="000000"/>
        </w:rPr>
        <w:t>lxs</w:t>
      </w:r>
      <w:proofErr w:type="spellEnd"/>
      <w:r>
        <w:rPr>
          <w:rFonts w:ascii="Century Gothic" w:eastAsia="Century Gothic" w:hAnsi="Century Gothic" w:cs="Century Gothic"/>
          <w:color w:val="000000"/>
        </w:rPr>
        <w:t xml:space="preserve"> profesionales que de producirse lo contrario a lo  solicitado por M., se estaría impactando en aspectos relevantes de su vida, sin  proteger ni respetar el proyecto de vida por ella elegido. </w:t>
      </w:r>
    </w:p>
    <w:p w14:paraId="00000011" w14:textId="77777777" w:rsidR="00C82B49" w:rsidRDefault="00954538">
      <w:pPr>
        <w:widowControl w:val="0"/>
        <w:pBdr>
          <w:top w:val="nil"/>
          <w:left w:val="nil"/>
          <w:bottom w:val="nil"/>
          <w:right w:val="nil"/>
          <w:between w:val="nil"/>
        </w:pBdr>
        <w:spacing w:line="357" w:lineRule="auto"/>
        <w:ind w:left="1147" w:right="-4"/>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Del informe de fecha 6 de agosto (fs. 13 Vta.), surge que M. está siendo acompañada por el equipo de ginecología, psicología y servicio social.  Que luego de 48 </w:t>
      </w:r>
      <w:proofErr w:type="spellStart"/>
      <w:r>
        <w:rPr>
          <w:rFonts w:ascii="Century Gothic" w:eastAsia="Century Gothic" w:hAnsi="Century Gothic" w:cs="Century Gothic"/>
          <w:color w:val="000000"/>
        </w:rPr>
        <w:t>hs</w:t>
      </w:r>
      <w:proofErr w:type="spellEnd"/>
      <w:r>
        <w:rPr>
          <w:rFonts w:ascii="Century Gothic" w:eastAsia="Century Gothic" w:hAnsi="Century Gothic" w:cs="Century Gothic"/>
          <w:color w:val="000000"/>
        </w:rPr>
        <w:t xml:space="preserve">. de producida la cesárea y nacimiento, M. no ha  manifestado interés alguno en 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que no ha hecho ninguna pregunta en  torno al sexo ni a su estado de salud y mucho menos ha insinuado querer </w:t>
      </w:r>
      <w:proofErr w:type="spellStart"/>
      <w:r>
        <w:rPr>
          <w:rFonts w:ascii="Century Gothic" w:eastAsia="Century Gothic" w:hAnsi="Century Gothic" w:cs="Century Gothic"/>
          <w:color w:val="000000"/>
        </w:rPr>
        <w:t>verlx</w:t>
      </w:r>
      <w:proofErr w:type="spellEnd"/>
      <w:r>
        <w:rPr>
          <w:rFonts w:ascii="Century Gothic" w:eastAsia="Century Gothic" w:hAnsi="Century Gothic" w:cs="Century Gothic"/>
          <w:color w:val="000000"/>
        </w:rPr>
        <w:t>.  Citan de sus palabras que se siente “</w:t>
      </w:r>
      <w:r>
        <w:rPr>
          <w:rFonts w:ascii="Century Gothic" w:eastAsia="Century Gothic" w:hAnsi="Century Gothic" w:cs="Century Gothic"/>
          <w:i/>
          <w:color w:val="000000"/>
        </w:rPr>
        <w:t>aliviada y que volvió a vivir</w:t>
      </w:r>
      <w:r>
        <w:rPr>
          <w:rFonts w:ascii="Century Gothic" w:eastAsia="Century Gothic" w:hAnsi="Century Gothic" w:cs="Century Gothic"/>
          <w:color w:val="000000"/>
        </w:rPr>
        <w:t xml:space="preserve">”.  </w:t>
      </w:r>
    </w:p>
    <w:p w14:paraId="00000012" w14:textId="77777777" w:rsidR="00C82B49" w:rsidRDefault="00954538">
      <w:pPr>
        <w:widowControl w:val="0"/>
        <w:pBdr>
          <w:top w:val="nil"/>
          <w:left w:val="nil"/>
          <w:bottom w:val="nil"/>
          <w:right w:val="nil"/>
          <w:between w:val="nil"/>
        </w:pBdr>
        <w:spacing w:before="25" w:line="357" w:lineRule="auto"/>
        <w:ind w:left="1147"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último, acompaña entrevista psicosocial realizada por el  Equipo Interdisciplinario de la Defensoría de los Derechos del Niño y el  Adolescente. De allí surge que, en relación a su historia personal, su familia es  de la localidad de Allen, lugar donde reside su progenitor, hermana y abuela. Que ha referido que sus progenitores se separaron cuando ella era muy  pequeña, residiendo siempre con su progenitora y hermana.  Aproximadamente a sus 14 años de edad, hace 4 años, su progenitora perdió </w:t>
      </w:r>
    </w:p>
    <w:p w14:paraId="00000013" w14:textId="77777777" w:rsidR="00C82B49" w:rsidRDefault="00954538">
      <w:pPr>
        <w:widowControl w:val="0"/>
        <w:pBdr>
          <w:top w:val="nil"/>
          <w:left w:val="nil"/>
          <w:bottom w:val="nil"/>
          <w:right w:val="nil"/>
          <w:between w:val="nil"/>
        </w:pBdr>
        <w:spacing w:before="30" w:line="357" w:lineRule="auto"/>
        <w:ind w:left="1145" w:right="-4" w:firstLine="7"/>
        <w:rPr>
          <w:rFonts w:ascii="Century Gothic" w:eastAsia="Century Gothic" w:hAnsi="Century Gothic" w:cs="Century Gothic"/>
          <w:color w:val="000000"/>
        </w:rPr>
      </w:pPr>
      <w:r>
        <w:rPr>
          <w:rFonts w:ascii="Century Gothic" w:eastAsia="Century Gothic" w:hAnsi="Century Gothic" w:cs="Century Gothic"/>
          <w:color w:val="000000"/>
        </w:rPr>
        <w:t xml:space="preserve">el empleo y al encontrar mejores posibilidades laborales en </w:t>
      </w:r>
      <w:proofErr w:type="spellStart"/>
      <w:r>
        <w:rPr>
          <w:rFonts w:ascii="Century Gothic" w:eastAsia="Century Gothic" w:hAnsi="Century Gothic" w:cs="Century Gothic"/>
          <w:color w:val="000000"/>
        </w:rPr>
        <w:t>Añelo</w:t>
      </w:r>
      <w:proofErr w:type="spellEnd"/>
      <w:r>
        <w:rPr>
          <w:rFonts w:ascii="Century Gothic" w:eastAsia="Century Gothic" w:hAnsi="Century Gothic" w:cs="Century Gothic"/>
          <w:color w:val="000000"/>
        </w:rPr>
        <w:t xml:space="preserve"> se mudaron a dicha localidad. Allí se encuentra finalizando sus estudios secundarios.  Expresan </w:t>
      </w:r>
      <w:proofErr w:type="spellStart"/>
      <w:r>
        <w:rPr>
          <w:rFonts w:ascii="Century Gothic" w:eastAsia="Century Gothic" w:hAnsi="Century Gothic" w:cs="Century Gothic"/>
          <w:color w:val="000000"/>
        </w:rPr>
        <w:t>lxs</w:t>
      </w:r>
      <w:proofErr w:type="spellEnd"/>
      <w:r>
        <w:rPr>
          <w:rFonts w:ascii="Century Gothic" w:eastAsia="Century Gothic" w:hAnsi="Century Gothic" w:cs="Century Gothic"/>
          <w:color w:val="000000"/>
        </w:rPr>
        <w:t xml:space="preserve"> profesionales que M. ha referido no haber hablado  con nadie de su familia ni amigos sobre el embarazo y el nacimiento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Todo este período lo ha ocultado. Que ha dicho: “</w:t>
      </w:r>
      <w:r>
        <w:rPr>
          <w:rFonts w:ascii="Century Gothic" w:eastAsia="Century Gothic" w:hAnsi="Century Gothic" w:cs="Century Gothic"/>
          <w:i/>
          <w:color w:val="000000"/>
        </w:rPr>
        <w:t>El tiempo de embarazo, no  me miraba al espejo, por lo menos desde los tres meses. Salía de bañarme, y  no me miraba porque no quería verme embarazada</w:t>
      </w:r>
      <w:r>
        <w:rPr>
          <w:rFonts w:ascii="Century Gothic" w:eastAsia="Century Gothic" w:hAnsi="Century Gothic" w:cs="Century Gothic"/>
          <w:color w:val="000000"/>
        </w:rPr>
        <w:t>” (</w:t>
      </w:r>
      <w:proofErr w:type="spellStart"/>
      <w:r>
        <w:rPr>
          <w:rFonts w:ascii="Century Gothic" w:eastAsia="Century Gothic" w:hAnsi="Century Gothic" w:cs="Century Gothic"/>
          <w:color w:val="000000"/>
        </w:rPr>
        <w:t>text</w:t>
      </w:r>
      <w:proofErr w:type="spellEnd"/>
      <w:r>
        <w:rPr>
          <w:rFonts w:ascii="Century Gothic" w:eastAsia="Century Gothic" w:hAnsi="Century Gothic" w:cs="Century Gothic"/>
          <w:color w:val="000000"/>
        </w:rPr>
        <w:t xml:space="preserve">.). Agregan que M.  quiso interrumpir el embarazo y no pudo hacerlo, que tomó pastillas, pero no  funcionaron, y habiendo tomado contacto con la </w:t>
      </w:r>
      <w:r>
        <w:rPr>
          <w:rFonts w:ascii="Century Gothic" w:eastAsia="Century Gothic" w:hAnsi="Century Gothic" w:cs="Century Gothic"/>
          <w:i/>
          <w:color w:val="000000"/>
        </w:rPr>
        <w:t>Red de Socorristas</w:t>
      </w:r>
      <w:r>
        <w:rPr>
          <w:rFonts w:ascii="Century Gothic" w:eastAsia="Century Gothic" w:hAnsi="Century Gothic" w:cs="Century Gothic"/>
          <w:color w:val="000000"/>
        </w:rPr>
        <w:t>, le  plantearon que ya no era posible la ILE y le ofrecieron como opción la  adopción. Citan de sus palabras: “</w:t>
      </w:r>
      <w:r>
        <w:rPr>
          <w:rFonts w:ascii="Century Gothic" w:eastAsia="Century Gothic" w:hAnsi="Century Gothic" w:cs="Century Gothic"/>
          <w:i/>
          <w:color w:val="000000"/>
        </w:rPr>
        <w:t>No estaba en mis planes, en ninguno de  ellos encaja el bebé, quiero seguir estudiando, mi mamá no me va a apoyar  […] Se que nadie se va a querer hacer cargo, toda mi familia espera otra cosa  de mí</w:t>
      </w:r>
      <w:r>
        <w:rPr>
          <w:rFonts w:ascii="Century Gothic" w:eastAsia="Century Gothic" w:hAnsi="Century Gothic" w:cs="Century Gothic"/>
          <w:color w:val="000000"/>
        </w:rPr>
        <w:t xml:space="preserve">”.  </w:t>
      </w:r>
    </w:p>
    <w:p w14:paraId="00000014" w14:textId="77777777" w:rsidR="00C82B49" w:rsidRDefault="00954538">
      <w:pPr>
        <w:widowControl w:val="0"/>
        <w:pBdr>
          <w:top w:val="nil"/>
          <w:left w:val="nil"/>
          <w:bottom w:val="nil"/>
          <w:right w:val="nil"/>
          <w:between w:val="nil"/>
        </w:pBdr>
        <w:spacing w:before="30" w:line="356" w:lineRule="auto"/>
        <w:ind w:left="1151" w:firstLine="143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cuanto al progenitor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menciona que no tiene una  relación de pareja estable. Que no ha realizado controles médicos,  </w:t>
      </w:r>
      <w:r>
        <w:rPr>
          <w:rFonts w:ascii="Century Gothic" w:eastAsia="Century Gothic" w:hAnsi="Century Gothic" w:cs="Century Gothic"/>
          <w:color w:val="000000"/>
        </w:rPr>
        <w:lastRenderedPageBreak/>
        <w:t xml:space="preserve">desconociendo cuándo quedó embarazada. Expresa haber tenido varias  relaciones ocasionales, negando en la conversación la posibilidad de abordar  tal dimensión. </w:t>
      </w:r>
    </w:p>
    <w:p w14:paraId="00000015" w14:textId="77777777" w:rsidR="00C82B49" w:rsidRDefault="00954538">
      <w:pPr>
        <w:widowControl w:val="0"/>
        <w:pBdr>
          <w:top w:val="nil"/>
          <w:left w:val="nil"/>
          <w:bottom w:val="nil"/>
          <w:right w:val="nil"/>
          <w:between w:val="nil"/>
        </w:pBdr>
        <w:spacing w:line="354" w:lineRule="auto"/>
        <w:ind w:left="18" w:right="1134" w:firstLine="1420"/>
        <w:rPr>
          <w:rFonts w:ascii="Century Gothic" w:eastAsia="Century Gothic" w:hAnsi="Century Gothic" w:cs="Century Gothic"/>
          <w:color w:val="000000"/>
        </w:rPr>
      </w:pPr>
      <w:r>
        <w:rPr>
          <w:rFonts w:ascii="Century Gothic" w:eastAsia="Century Gothic" w:hAnsi="Century Gothic" w:cs="Century Gothic"/>
          <w:color w:val="000000"/>
        </w:rPr>
        <w:t xml:space="preserve">Concluyen </w:t>
      </w:r>
      <w:proofErr w:type="spellStart"/>
      <w:r>
        <w:rPr>
          <w:rFonts w:ascii="Century Gothic" w:eastAsia="Century Gothic" w:hAnsi="Century Gothic" w:cs="Century Gothic"/>
          <w:color w:val="000000"/>
        </w:rPr>
        <w:t>lxs</w:t>
      </w:r>
      <w:proofErr w:type="spellEnd"/>
      <w:r>
        <w:rPr>
          <w:rFonts w:ascii="Century Gothic" w:eastAsia="Century Gothic" w:hAnsi="Century Gothic" w:cs="Century Gothic"/>
          <w:color w:val="000000"/>
        </w:rPr>
        <w:t xml:space="preserve"> profesionales que M. ha expresado sin presiones su  decisión, a partir de un proceso singular y de autonomía.  </w:t>
      </w:r>
    </w:p>
    <w:p w14:paraId="00000016" w14:textId="77777777" w:rsidR="00C82B49" w:rsidRDefault="00954538">
      <w:pPr>
        <w:widowControl w:val="0"/>
        <w:pBdr>
          <w:top w:val="nil"/>
          <w:left w:val="nil"/>
          <w:bottom w:val="nil"/>
          <w:right w:val="nil"/>
          <w:between w:val="nil"/>
        </w:pBdr>
        <w:spacing w:before="33" w:line="357" w:lineRule="auto"/>
        <w:ind w:left="12" w:right="1130"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fecha 11/8 se presenta M. con patrocinio letrado, solicitando  se deje sin efecto lo dispuesto en el art. 607 inc. b) del C.C.C.N. y, por lo tanto,  se disponga que 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pueda ser cuidado provisoriamente por pretensos  adoptantes, elegidos conforme el proceso de selección previsto por la  legislación, por cuanto ha tomado la decisión libre e informada de que 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sea otorgado en adopción con anterioridad al parto, decisión que sostiene  fervientemente por cuanto no tiene interés en </w:t>
      </w:r>
      <w:proofErr w:type="spellStart"/>
      <w:r>
        <w:rPr>
          <w:rFonts w:ascii="Century Gothic" w:eastAsia="Century Gothic" w:hAnsi="Century Gothic" w:cs="Century Gothic"/>
          <w:color w:val="000000"/>
        </w:rPr>
        <w:t>maternar</w:t>
      </w:r>
      <w:proofErr w:type="spellEnd"/>
      <w:r>
        <w:rPr>
          <w:rFonts w:ascii="Century Gothic" w:eastAsia="Century Gothic" w:hAnsi="Century Gothic" w:cs="Century Gothic"/>
          <w:color w:val="000000"/>
        </w:rPr>
        <w:t xml:space="preserve">. Refiere que, no  obstante ello y de así considerarlo pertinente, se compromete a ratificar la  decisión luego de los 45 días.  </w:t>
      </w:r>
    </w:p>
    <w:p w14:paraId="00000017" w14:textId="77777777" w:rsidR="00C82B49" w:rsidRDefault="00954538">
      <w:pPr>
        <w:widowControl w:val="0"/>
        <w:pBdr>
          <w:top w:val="nil"/>
          <w:left w:val="nil"/>
          <w:bottom w:val="nil"/>
          <w:right w:val="nil"/>
          <w:between w:val="nil"/>
        </w:pBdr>
        <w:spacing w:before="30" w:line="356" w:lineRule="auto"/>
        <w:ind w:left="12" w:right="1134" w:firstLine="14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su vez, solicita no se aplique en el presente caso el principio  establecido en el art. 595 inc. C) del mismo cuerpo normativo, no solo para  garantizar y respetar sus derechos, sino también en resguardo del interés  superior del niño. Solicita la declaración de inconstitucionalidad del mentado  artículo en el presente caso.  </w:t>
      </w:r>
    </w:p>
    <w:p w14:paraId="00000018" w14:textId="77777777" w:rsidR="00C82B49" w:rsidRDefault="00954538">
      <w:pPr>
        <w:widowControl w:val="0"/>
        <w:pBdr>
          <w:top w:val="nil"/>
          <w:left w:val="nil"/>
          <w:bottom w:val="nil"/>
          <w:right w:val="nil"/>
          <w:between w:val="nil"/>
        </w:pBdr>
        <w:spacing w:before="31" w:line="357" w:lineRule="auto"/>
        <w:ind w:left="17" w:right="1131" w:firstLine="142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Expresa que quiso interrumpir su embarazo con </w:t>
      </w:r>
      <w:proofErr w:type="spellStart"/>
      <w:r>
        <w:rPr>
          <w:rFonts w:ascii="Century Gothic" w:eastAsia="Century Gothic" w:hAnsi="Century Gothic" w:cs="Century Gothic"/>
          <w:color w:val="000000"/>
        </w:rPr>
        <w:t>misoprostol</w:t>
      </w:r>
      <w:proofErr w:type="spellEnd"/>
      <w:r>
        <w:rPr>
          <w:rFonts w:ascii="Century Gothic" w:eastAsia="Century Gothic" w:hAnsi="Century Gothic" w:cs="Century Gothic"/>
          <w:color w:val="000000"/>
        </w:rPr>
        <w:t xml:space="preserve">  cuando creía estar embarazada de 8 semanas. Con el correr de las semanas  advirtió que continuaban los síntomas del embarazo, con lo cual se puso en  contacto con la Colectiva Feminista “La Revuelta” para pedir ayuda. Refiere  haber siempre usado métodos anticonceptivos orales y realizar controles  ginecológicos en forma regular. Desconoce quién puede ser el progenitor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w:t>
      </w:r>
    </w:p>
    <w:p w14:paraId="00000019" w14:textId="77777777" w:rsidR="00C82B49" w:rsidRDefault="00954538">
      <w:pPr>
        <w:widowControl w:val="0"/>
        <w:pBdr>
          <w:top w:val="nil"/>
          <w:left w:val="nil"/>
          <w:bottom w:val="nil"/>
          <w:right w:val="nil"/>
          <w:between w:val="nil"/>
        </w:pBdr>
        <w:spacing w:before="25" w:line="357" w:lineRule="auto"/>
        <w:ind w:left="8" w:right="1130" w:firstLine="1430"/>
        <w:jc w:val="both"/>
        <w:rPr>
          <w:rFonts w:ascii="Century Gothic" w:eastAsia="Century Gothic" w:hAnsi="Century Gothic" w:cs="Century Gothic"/>
          <w:i/>
          <w:color w:val="000000"/>
        </w:rPr>
      </w:pPr>
      <w:r>
        <w:rPr>
          <w:rFonts w:ascii="Century Gothic" w:eastAsia="Century Gothic" w:hAnsi="Century Gothic" w:cs="Century Gothic"/>
          <w:color w:val="000000"/>
        </w:rPr>
        <w:t xml:space="preserve">Continúa relatando que cuando solicitó ayuda llevaba 33  semanas de gestación, con lo cual excedía el plazo permitido por los  protocolos nacionales vigentes para interrumpir legalmente el embarazo. Que  dicha noticia fue muy angustiante porque no es su deseo </w:t>
      </w:r>
      <w:proofErr w:type="spellStart"/>
      <w:r>
        <w:rPr>
          <w:rFonts w:ascii="Century Gothic" w:eastAsia="Century Gothic" w:hAnsi="Century Gothic" w:cs="Century Gothic"/>
          <w:color w:val="000000"/>
        </w:rPr>
        <w:t>maternar</w:t>
      </w:r>
      <w:proofErr w:type="spellEnd"/>
      <w:r>
        <w:rPr>
          <w:rFonts w:ascii="Century Gothic" w:eastAsia="Century Gothic" w:hAnsi="Century Gothic" w:cs="Century Gothic"/>
          <w:color w:val="000000"/>
        </w:rPr>
        <w:t>. Que  incluso el proyectarse dicha idea la lleva a pensar en el suicidio. Manifiesta: “</w:t>
      </w:r>
      <w:r>
        <w:rPr>
          <w:rFonts w:ascii="Century Gothic" w:eastAsia="Century Gothic" w:hAnsi="Century Gothic" w:cs="Century Gothic"/>
          <w:i/>
          <w:color w:val="000000"/>
        </w:rPr>
        <w:t xml:space="preserve">…era capaz de hacer cualquier cosa para sacarme eso que llevaba adentro,  incluso pensé </w:t>
      </w:r>
      <w:r>
        <w:rPr>
          <w:rFonts w:ascii="Century Gothic" w:eastAsia="Century Gothic" w:hAnsi="Century Gothic" w:cs="Century Gothic"/>
          <w:i/>
          <w:color w:val="000000"/>
        </w:rPr>
        <w:lastRenderedPageBreak/>
        <w:t xml:space="preserve">en tirarme a las vías del tren y el suicidio se presentaba como la  alternativa más viable para terminar con mi embarazo. En ese momento, tanto  desde la Colectiva Feminista La Revuelta como desde el hospital, se me  informó la posibilidad de continuar mi gestación para dar el bebé en </w:t>
      </w:r>
    </w:p>
    <w:p w14:paraId="0000001A" w14:textId="77777777" w:rsidR="00C82B49" w:rsidRDefault="00954538">
      <w:pPr>
        <w:widowControl w:val="0"/>
        <w:pBdr>
          <w:top w:val="nil"/>
          <w:left w:val="nil"/>
          <w:bottom w:val="nil"/>
          <w:right w:val="nil"/>
          <w:between w:val="nil"/>
        </w:pBdr>
        <w:spacing w:line="356" w:lineRule="auto"/>
        <w:ind w:left="1148" w:right="-3"/>
        <w:jc w:val="both"/>
        <w:rPr>
          <w:rFonts w:ascii="Century Gothic" w:eastAsia="Century Gothic" w:hAnsi="Century Gothic" w:cs="Century Gothic"/>
          <w:color w:val="000000"/>
        </w:rPr>
      </w:pPr>
      <w:r>
        <w:rPr>
          <w:rFonts w:ascii="Century Gothic" w:eastAsia="Century Gothic" w:hAnsi="Century Gothic" w:cs="Century Gothic"/>
          <w:i/>
          <w:color w:val="000000"/>
        </w:rPr>
        <w:t xml:space="preserve">adopción, proceso éste que podría garantizar mi derecho a no </w:t>
      </w:r>
      <w:proofErr w:type="spellStart"/>
      <w:r>
        <w:rPr>
          <w:rFonts w:ascii="Century Gothic" w:eastAsia="Century Gothic" w:hAnsi="Century Gothic" w:cs="Century Gothic"/>
          <w:i/>
          <w:color w:val="000000"/>
        </w:rPr>
        <w:t>maternar</w:t>
      </w:r>
      <w:proofErr w:type="spellEnd"/>
      <w:r>
        <w:rPr>
          <w:rFonts w:ascii="Century Gothic" w:eastAsia="Century Gothic" w:hAnsi="Century Gothic" w:cs="Century Gothic"/>
          <w:i/>
          <w:color w:val="000000"/>
        </w:rPr>
        <w:t xml:space="preserve"> y a  desvincularme responsablemente, decidiendo sobre mi vida y mi futuro.</w:t>
      </w:r>
      <w:r>
        <w:rPr>
          <w:rFonts w:ascii="Century Gothic" w:eastAsia="Century Gothic" w:hAnsi="Century Gothic" w:cs="Century Gothic"/>
          <w:color w:val="000000"/>
        </w:rPr>
        <w:t>” (</w:t>
      </w:r>
      <w:proofErr w:type="spellStart"/>
      <w:r>
        <w:rPr>
          <w:rFonts w:ascii="Century Gothic" w:eastAsia="Century Gothic" w:hAnsi="Century Gothic" w:cs="Century Gothic"/>
          <w:color w:val="000000"/>
        </w:rPr>
        <w:t>text</w:t>
      </w:r>
      <w:proofErr w:type="spellEnd"/>
      <w:r>
        <w:rPr>
          <w:rFonts w:ascii="Century Gothic" w:eastAsia="Century Gothic" w:hAnsi="Century Gothic" w:cs="Century Gothic"/>
          <w:color w:val="000000"/>
        </w:rPr>
        <w:t xml:space="preserve">.  fs. 28 Vta.). </w:t>
      </w:r>
    </w:p>
    <w:p w14:paraId="0000001B" w14:textId="77777777" w:rsidR="00C82B49" w:rsidRDefault="00954538">
      <w:pPr>
        <w:widowControl w:val="0"/>
        <w:pBdr>
          <w:top w:val="nil"/>
          <w:left w:val="nil"/>
          <w:bottom w:val="nil"/>
          <w:right w:val="nil"/>
          <w:between w:val="nil"/>
        </w:pBdr>
        <w:spacing w:before="26" w:line="357" w:lineRule="auto"/>
        <w:ind w:left="1147"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Refiere haber solicitado expresamente no querer ver, escuchar ni  saber sobre el sexo del bebé, y que siempre pidió y sigue sosteniendo que se  mantenga su decisión en un marco de confidencialidad. Que nadie de su  familia supo que estuvo embarazada y la única persona en la que confía es en  su abuela, que piensa que abortó. Agrega que vive con su progenitora y que  se niega rotundamente a saber que ese niño pueda estar en su casa. No  quiere que el bebé esté cerca de ella ni de su familia.  </w:t>
      </w:r>
    </w:p>
    <w:p w14:paraId="0000001C" w14:textId="77777777" w:rsidR="00C82B49" w:rsidRDefault="00954538">
      <w:pPr>
        <w:widowControl w:val="0"/>
        <w:pBdr>
          <w:top w:val="nil"/>
          <w:left w:val="nil"/>
          <w:bottom w:val="nil"/>
          <w:right w:val="nil"/>
          <w:between w:val="nil"/>
        </w:pBdr>
        <w:spacing w:before="30" w:line="357" w:lineRule="auto"/>
        <w:ind w:left="1147" w:right="-4" w:firstLine="1434"/>
        <w:jc w:val="both"/>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 xml:space="preserve">Entiende que la interpretación estricta del art. 607 inc. b), en lo  relativo al plazo de 45 días, resulta inconstitucional, ya que se le forzaría a  </w:t>
      </w:r>
      <w:proofErr w:type="spellStart"/>
      <w:r>
        <w:rPr>
          <w:rFonts w:ascii="Century Gothic" w:eastAsia="Century Gothic" w:hAnsi="Century Gothic" w:cs="Century Gothic"/>
          <w:color w:val="000000"/>
          <w:highlight w:val="yellow"/>
        </w:rPr>
        <w:t>maternar</w:t>
      </w:r>
      <w:proofErr w:type="spellEnd"/>
      <w:r>
        <w:rPr>
          <w:rFonts w:ascii="Century Gothic" w:eastAsia="Century Gothic" w:hAnsi="Century Gothic" w:cs="Century Gothic"/>
          <w:color w:val="000000"/>
          <w:highlight w:val="yellow"/>
        </w:rPr>
        <w:t xml:space="preserve"> y se le obligaría a un </w:t>
      </w:r>
      <w:proofErr w:type="spellStart"/>
      <w:r>
        <w:rPr>
          <w:rFonts w:ascii="Century Gothic" w:eastAsia="Century Gothic" w:hAnsi="Century Gothic" w:cs="Century Gothic"/>
          <w:color w:val="000000"/>
          <w:highlight w:val="yellow"/>
        </w:rPr>
        <w:t>niñx</w:t>
      </w:r>
      <w:proofErr w:type="spellEnd"/>
      <w:r>
        <w:rPr>
          <w:rFonts w:ascii="Century Gothic" w:eastAsia="Century Gothic" w:hAnsi="Century Gothic" w:cs="Century Gothic"/>
          <w:color w:val="000000"/>
          <w:highlight w:val="yellow"/>
        </w:rPr>
        <w:t xml:space="preserve"> a permanecer junto a la persona gestante  contra su voluntad. Sostiene que deben valorarse todos los elementos del  caso, dando en guarda y/o acogimiento de manera inmediata a una familia  seleccionada de la lista de aspirantes a guarda con fines adoptivos, tendiente  a evitar los riesgos que acarrearía la permanencia del </w:t>
      </w:r>
      <w:proofErr w:type="spellStart"/>
      <w:r>
        <w:rPr>
          <w:rFonts w:ascii="Century Gothic" w:eastAsia="Century Gothic" w:hAnsi="Century Gothic" w:cs="Century Gothic"/>
          <w:color w:val="000000"/>
          <w:highlight w:val="yellow"/>
        </w:rPr>
        <w:t>niñx</w:t>
      </w:r>
      <w:proofErr w:type="spellEnd"/>
      <w:r>
        <w:rPr>
          <w:rFonts w:ascii="Century Gothic" w:eastAsia="Century Gothic" w:hAnsi="Century Gothic" w:cs="Century Gothic"/>
          <w:color w:val="000000"/>
          <w:highlight w:val="yellow"/>
        </w:rPr>
        <w:t xml:space="preserve"> junto a ella,  dándole un lugar donde sí lo deseen.  </w:t>
      </w:r>
    </w:p>
    <w:p w14:paraId="0000001D" w14:textId="77777777" w:rsidR="00C82B49" w:rsidRDefault="00954538">
      <w:pPr>
        <w:widowControl w:val="0"/>
        <w:pBdr>
          <w:top w:val="nil"/>
          <w:left w:val="nil"/>
          <w:bottom w:val="nil"/>
          <w:right w:val="nil"/>
          <w:between w:val="nil"/>
        </w:pBdr>
        <w:spacing w:before="31" w:line="357" w:lineRule="auto"/>
        <w:ind w:left="1147" w:right="-3" w:firstLine="1426"/>
        <w:rPr>
          <w:rFonts w:ascii="Century Gothic" w:eastAsia="Century Gothic" w:hAnsi="Century Gothic" w:cs="Century Gothic"/>
          <w:color w:val="000000"/>
        </w:rPr>
      </w:pPr>
      <w:r>
        <w:rPr>
          <w:rFonts w:ascii="Century Gothic" w:eastAsia="Century Gothic" w:hAnsi="Century Gothic" w:cs="Century Gothic"/>
          <w:color w:val="000000"/>
        </w:rPr>
        <w:t xml:space="preserve">Concluye que se le debe garantizar su decisión y –por el otro respetar el interés superior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que en el caso se concreta con la  protección y cuidado para integrarlo inmediatamente a una familia que le  brindará el afecto y sustento, que no resulta posible se edifique en el seno de  su familia biológica, asegurando su contención mediante aquellos que  pueden y desean brindarle amor y cariño.  </w:t>
      </w:r>
    </w:p>
    <w:p w14:paraId="0000001E" w14:textId="77777777" w:rsidR="00C82B49" w:rsidRDefault="00954538">
      <w:pPr>
        <w:widowControl w:val="0"/>
        <w:pBdr>
          <w:top w:val="nil"/>
          <w:left w:val="nil"/>
          <w:bottom w:val="nil"/>
          <w:right w:val="nil"/>
          <w:between w:val="nil"/>
        </w:pBdr>
        <w:spacing w:before="30" w:line="240" w:lineRule="auto"/>
        <w:ind w:left="2575"/>
        <w:rPr>
          <w:rFonts w:ascii="Century Gothic" w:eastAsia="Century Gothic" w:hAnsi="Century Gothic" w:cs="Century Gothic"/>
          <w:color w:val="000000"/>
        </w:rPr>
      </w:pPr>
      <w:r>
        <w:rPr>
          <w:rFonts w:ascii="Century Gothic" w:eastAsia="Century Gothic" w:hAnsi="Century Gothic" w:cs="Century Gothic"/>
          <w:color w:val="000000"/>
        </w:rPr>
        <w:t xml:space="preserve">Ofrece prueba y funda en derecho. </w:t>
      </w:r>
    </w:p>
    <w:p w14:paraId="0000001F" w14:textId="77777777" w:rsidR="00C82B49" w:rsidRDefault="00954538">
      <w:pPr>
        <w:widowControl w:val="0"/>
        <w:pBdr>
          <w:top w:val="nil"/>
          <w:left w:val="nil"/>
          <w:bottom w:val="nil"/>
          <w:right w:val="nil"/>
          <w:between w:val="nil"/>
        </w:pBdr>
        <w:spacing w:before="133" w:line="357" w:lineRule="auto"/>
        <w:ind w:left="1147" w:right="-2"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fecha 12 de agosto se hace lugar a la Medida de Protección  Excepcional, se dispone la incorporación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a una familia de  acogimiento </w:t>
      </w:r>
      <w:r>
        <w:rPr>
          <w:rFonts w:ascii="Century Gothic" w:eastAsia="Century Gothic" w:hAnsi="Century Gothic" w:cs="Century Gothic"/>
          <w:color w:val="000000"/>
        </w:rPr>
        <w:lastRenderedPageBreak/>
        <w:t xml:space="preserve">y se confiere vista a la Defensora de los Derechos del Niño y el  Adolescente de lo peticionado por M.  </w:t>
      </w:r>
    </w:p>
    <w:p w14:paraId="00000020" w14:textId="77777777" w:rsidR="00C82B49" w:rsidRDefault="00954538">
      <w:pPr>
        <w:widowControl w:val="0"/>
        <w:pBdr>
          <w:top w:val="nil"/>
          <w:left w:val="nil"/>
          <w:bottom w:val="nil"/>
          <w:right w:val="nil"/>
          <w:between w:val="nil"/>
        </w:pBdr>
        <w:spacing w:before="30" w:line="357" w:lineRule="auto"/>
        <w:ind w:left="1147" w:right="-2"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día 18 del mismo mes la Dra. </w:t>
      </w:r>
      <w:proofErr w:type="spellStart"/>
      <w:r>
        <w:rPr>
          <w:rFonts w:ascii="Century Gothic" w:eastAsia="Century Gothic" w:hAnsi="Century Gothic" w:cs="Century Gothic"/>
          <w:color w:val="000000"/>
        </w:rPr>
        <w:t>Stornini</w:t>
      </w:r>
      <w:proofErr w:type="spellEnd"/>
      <w:r>
        <w:rPr>
          <w:rFonts w:ascii="Century Gothic" w:eastAsia="Century Gothic" w:hAnsi="Century Gothic" w:cs="Century Gothic"/>
          <w:color w:val="000000"/>
        </w:rPr>
        <w:t xml:space="preserve"> evacúa la vista conferida.  Allí refiere que la cuestión aquí planteada debe ser interpretada en el marco  de lo normado por el art. 2 del C.C.C.N., es decir, teniendo en cuenta las  palabras de la ley, sus finalidades, las leyes análogas, las disposiciones que </w:t>
      </w:r>
    </w:p>
    <w:p w14:paraId="00000021" w14:textId="77777777" w:rsidR="00C82B49" w:rsidRDefault="00954538">
      <w:pPr>
        <w:widowControl w:val="0"/>
        <w:pBdr>
          <w:top w:val="nil"/>
          <w:left w:val="nil"/>
          <w:bottom w:val="nil"/>
          <w:right w:val="nil"/>
          <w:between w:val="nil"/>
        </w:pBdr>
        <w:spacing w:line="354" w:lineRule="auto"/>
        <w:ind w:right="1140" w:firstLine="12"/>
        <w:rPr>
          <w:rFonts w:ascii="Century Gothic" w:eastAsia="Century Gothic" w:hAnsi="Century Gothic" w:cs="Century Gothic"/>
          <w:color w:val="000000"/>
        </w:rPr>
      </w:pPr>
      <w:r>
        <w:rPr>
          <w:rFonts w:ascii="Century Gothic" w:eastAsia="Century Gothic" w:hAnsi="Century Gothic" w:cs="Century Gothic"/>
          <w:color w:val="000000"/>
        </w:rPr>
        <w:t xml:space="preserve">surgen de los tratados sobre derechos humanos, los principios y los valores  jurídicos, de modo coherente con todo el ordenamiento.  </w:t>
      </w:r>
    </w:p>
    <w:p w14:paraId="00000022" w14:textId="77777777" w:rsidR="00C82B49" w:rsidRDefault="00954538">
      <w:pPr>
        <w:widowControl w:val="0"/>
        <w:pBdr>
          <w:top w:val="nil"/>
          <w:left w:val="nil"/>
          <w:bottom w:val="nil"/>
          <w:right w:val="nil"/>
          <w:between w:val="nil"/>
        </w:pBdr>
        <w:spacing w:before="33" w:line="357" w:lineRule="auto"/>
        <w:ind w:left="12" w:right="1131"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Expresa que no hay dudas que lo más deseable es el desarrollo y  crecimiento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junto a su familia de origen o ampliada, en tanto su sola  existencia presupone la cobertura de un vínculo innato unido por el lazo  sanguíneo. De allí el principio general que manda priorizar el derecho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a vivir y crecer con la familia de origen. Que dicha directiva cede frente a la  carencia de sincronía de las necesidades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y su progenitora y la regla  general es susceptible de ser reformulada: todo NNA tiene el derecho humano  fundamental a vivir y desarrollarse en el seno de una familia, preferentemente  la propia.  </w:t>
      </w:r>
    </w:p>
    <w:p w14:paraId="00000023" w14:textId="77777777" w:rsidR="00C82B49" w:rsidRDefault="00954538">
      <w:pPr>
        <w:widowControl w:val="0"/>
        <w:pBdr>
          <w:top w:val="nil"/>
          <w:left w:val="nil"/>
          <w:bottom w:val="nil"/>
          <w:right w:val="nil"/>
          <w:between w:val="nil"/>
        </w:pBdr>
        <w:spacing w:before="30" w:line="356" w:lineRule="auto"/>
        <w:ind w:left="17" w:right="1133" w:firstLine="142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Refiere que se trata de una preferencia de orden imperativo que  puede ser válidamente desplazada por el interés superior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y su derecho  a vivir en familia. De allí que el régimen normativo prevea excepciones, como  es la decisión de los progenitores de que su </w:t>
      </w:r>
      <w:proofErr w:type="spellStart"/>
      <w:r>
        <w:rPr>
          <w:rFonts w:ascii="Century Gothic" w:eastAsia="Century Gothic" w:hAnsi="Century Gothic" w:cs="Century Gothic"/>
          <w:color w:val="000000"/>
        </w:rPr>
        <w:t>hijx</w:t>
      </w:r>
      <w:proofErr w:type="spellEnd"/>
      <w:r>
        <w:rPr>
          <w:rFonts w:ascii="Century Gothic" w:eastAsia="Century Gothic" w:hAnsi="Century Gothic" w:cs="Century Gothic"/>
          <w:color w:val="000000"/>
        </w:rPr>
        <w:t xml:space="preserve"> sea dado en adopción.  </w:t>
      </w:r>
    </w:p>
    <w:p w14:paraId="00000024" w14:textId="77777777" w:rsidR="00C82B49" w:rsidRDefault="00954538">
      <w:pPr>
        <w:widowControl w:val="0"/>
        <w:pBdr>
          <w:top w:val="nil"/>
          <w:left w:val="nil"/>
          <w:bottom w:val="nil"/>
          <w:right w:val="nil"/>
          <w:between w:val="nil"/>
        </w:pBdr>
        <w:spacing w:before="31" w:line="356" w:lineRule="auto"/>
        <w:ind w:left="12" w:right="1140" w:firstLine="142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Considera que debe efectuarse una ponderación de las normas  en juego y que la decisión a adoptar debe tener como eje rector, el interés  superior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w:t>
      </w:r>
    </w:p>
    <w:p w14:paraId="00000025" w14:textId="77777777" w:rsidR="00C82B49" w:rsidRDefault="00954538">
      <w:pPr>
        <w:widowControl w:val="0"/>
        <w:pBdr>
          <w:top w:val="nil"/>
          <w:left w:val="nil"/>
          <w:bottom w:val="nil"/>
          <w:right w:val="nil"/>
          <w:between w:val="nil"/>
        </w:pBdr>
        <w:spacing w:before="31" w:line="357" w:lineRule="auto"/>
        <w:ind w:left="17" w:right="1133" w:firstLine="142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Concluye que, atento la complejidad de la situación, amerita  producir otros elementos probatorios, como una pericia psicológica, a los fines  de que se pueda evaluar el modo en que esta realidad impactará en la  construcción subjetiva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y se pregunta: frente al entorno en el que  crecerá 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¿podrá construir su subjetividad en forma sana? ¿es  conveniente al interés superior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evaluar a la familia biológica? </w:t>
      </w:r>
    </w:p>
    <w:p w14:paraId="00000026" w14:textId="77777777" w:rsidR="00C82B49" w:rsidRDefault="00954538">
      <w:pPr>
        <w:widowControl w:val="0"/>
        <w:pBdr>
          <w:top w:val="nil"/>
          <w:left w:val="nil"/>
          <w:bottom w:val="nil"/>
          <w:right w:val="nil"/>
          <w:between w:val="nil"/>
        </w:pBdr>
        <w:spacing w:before="30" w:line="357" w:lineRule="auto"/>
        <w:ind w:left="17" w:right="1132" w:firstLine="1428"/>
        <w:rPr>
          <w:rFonts w:ascii="Century Gothic" w:eastAsia="Century Gothic" w:hAnsi="Century Gothic" w:cs="Century Gothic"/>
          <w:color w:val="000000"/>
        </w:rPr>
      </w:pPr>
      <w:r>
        <w:rPr>
          <w:rFonts w:ascii="Century Gothic" w:eastAsia="Century Gothic" w:hAnsi="Century Gothic" w:cs="Century Gothic"/>
          <w:color w:val="000000"/>
        </w:rPr>
        <w:t xml:space="preserve">No pudiendo dar respuestas a dichas preguntas, solicita se  </w:t>
      </w:r>
      <w:r>
        <w:rPr>
          <w:rFonts w:ascii="Century Gothic" w:eastAsia="Century Gothic" w:hAnsi="Century Gothic" w:cs="Century Gothic"/>
          <w:color w:val="000000"/>
        </w:rPr>
        <w:lastRenderedPageBreak/>
        <w:t xml:space="preserve">practique la pericia psicológica oportunamente peticionada.  El día 20 se celebra audiencia con M. y su abogada, en  presencia de la Lic. Lucía Durán, asistente social del Hospital </w:t>
      </w:r>
      <w:proofErr w:type="spellStart"/>
      <w:r>
        <w:rPr>
          <w:rFonts w:ascii="Century Gothic" w:eastAsia="Century Gothic" w:hAnsi="Century Gothic" w:cs="Century Gothic"/>
          <w:color w:val="000000"/>
        </w:rPr>
        <w:t>Heller</w:t>
      </w:r>
      <w:proofErr w:type="spellEnd"/>
      <w:r>
        <w:rPr>
          <w:rFonts w:ascii="Century Gothic" w:eastAsia="Century Gothic" w:hAnsi="Century Gothic" w:cs="Century Gothic"/>
          <w:color w:val="000000"/>
        </w:rPr>
        <w:t>. En dicha  audiencia se hace lugar al pedido de informe peticionado por la Defensora  del Niño y se remiten las actuaciones al Equipo Interdisciplinario para la  realización de la pericia mencionada.</w:t>
      </w:r>
    </w:p>
    <w:p w14:paraId="00000027" w14:textId="77777777" w:rsidR="00C82B49" w:rsidRDefault="00954538">
      <w:pPr>
        <w:widowControl w:val="0"/>
        <w:pBdr>
          <w:top w:val="nil"/>
          <w:left w:val="nil"/>
          <w:bottom w:val="nil"/>
          <w:right w:val="nil"/>
          <w:between w:val="nil"/>
        </w:pBdr>
        <w:spacing w:line="356" w:lineRule="auto"/>
        <w:ind w:left="1151" w:right="6" w:firstLine="143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día 26 se agrega informe </w:t>
      </w:r>
      <w:proofErr w:type="spellStart"/>
      <w:r>
        <w:rPr>
          <w:rFonts w:ascii="Century Gothic" w:eastAsia="Century Gothic" w:hAnsi="Century Gothic" w:cs="Century Gothic"/>
          <w:color w:val="000000"/>
        </w:rPr>
        <w:t>psicodiagnóstico</w:t>
      </w:r>
      <w:proofErr w:type="spellEnd"/>
      <w:r>
        <w:rPr>
          <w:rFonts w:ascii="Century Gothic" w:eastAsia="Century Gothic" w:hAnsi="Century Gothic" w:cs="Century Gothic"/>
          <w:color w:val="000000"/>
        </w:rPr>
        <w:t xml:space="preserve">, en el cual se ratifica  todo lo ya descripto anteriormente. De ello se confiere nueva vista a la  Defensora del Niño.  </w:t>
      </w:r>
    </w:p>
    <w:p w14:paraId="00000028" w14:textId="77777777" w:rsidR="00C82B49" w:rsidRDefault="00954538">
      <w:pPr>
        <w:widowControl w:val="0"/>
        <w:pBdr>
          <w:top w:val="nil"/>
          <w:left w:val="nil"/>
          <w:bottom w:val="nil"/>
          <w:right w:val="nil"/>
          <w:between w:val="nil"/>
        </w:pBdr>
        <w:spacing w:before="26" w:line="357" w:lineRule="auto"/>
        <w:ind w:left="1150" w:right="6" w:firstLine="143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día 31 dictamina nuevamente y considera que, siendo que el  informe es una entrevista que se llevó a cabo mediante </w:t>
      </w:r>
      <w:proofErr w:type="spellStart"/>
      <w:r>
        <w:rPr>
          <w:rFonts w:ascii="Century Gothic" w:eastAsia="Century Gothic" w:hAnsi="Century Gothic" w:cs="Century Gothic"/>
          <w:color w:val="000000"/>
        </w:rPr>
        <w:t>videollamada</w:t>
      </w:r>
      <w:proofErr w:type="spellEnd"/>
      <w:r>
        <w:rPr>
          <w:rFonts w:ascii="Century Gothic" w:eastAsia="Century Gothic" w:hAnsi="Century Gothic" w:cs="Century Gothic"/>
          <w:color w:val="000000"/>
        </w:rPr>
        <w:t xml:space="preserve">, puede  darnos elementos para resolver la medida cautelar, mas no la cuestión de  fondo.  </w:t>
      </w:r>
    </w:p>
    <w:p w14:paraId="00000029" w14:textId="77777777" w:rsidR="00C82B49" w:rsidRDefault="00954538">
      <w:pPr>
        <w:widowControl w:val="0"/>
        <w:pBdr>
          <w:top w:val="nil"/>
          <w:left w:val="nil"/>
          <w:bottom w:val="nil"/>
          <w:right w:val="nil"/>
          <w:between w:val="nil"/>
        </w:pBdr>
        <w:spacing w:before="30" w:line="357" w:lineRule="auto"/>
        <w:ind w:left="1147" w:right="2"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ello se confiere traslado al Equipo Interdisciplinario. El día 4 de  septiembre, teniendo en cuenta que en autos se ha realizado un planteo de  inconstitucionalidad, se confiere vista al Ministerio Público Fiscal, quien  dictamina el día 18.  </w:t>
      </w:r>
    </w:p>
    <w:p w14:paraId="0000002A" w14:textId="77777777" w:rsidR="00C82B49" w:rsidRDefault="00954538">
      <w:pPr>
        <w:widowControl w:val="0"/>
        <w:pBdr>
          <w:top w:val="nil"/>
          <w:left w:val="nil"/>
          <w:bottom w:val="nil"/>
          <w:right w:val="nil"/>
          <w:between w:val="nil"/>
        </w:pBdr>
        <w:spacing w:before="30" w:line="357" w:lineRule="auto"/>
        <w:ind w:left="1147" w:right="-1"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Dr. Pablo </w:t>
      </w:r>
      <w:proofErr w:type="spellStart"/>
      <w:r>
        <w:rPr>
          <w:rFonts w:ascii="Century Gothic" w:eastAsia="Century Gothic" w:hAnsi="Century Gothic" w:cs="Century Gothic"/>
          <w:color w:val="000000"/>
        </w:rPr>
        <w:t>Vignaroli</w:t>
      </w:r>
      <w:proofErr w:type="spellEnd"/>
      <w:r>
        <w:rPr>
          <w:rFonts w:ascii="Century Gothic" w:eastAsia="Century Gothic" w:hAnsi="Century Gothic" w:cs="Century Gothic"/>
          <w:color w:val="000000"/>
        </w:rPr>
        <w:t xml:space="preserve">, fiscal jefe, realiza un análisis del caso y  concluye que, habiéndose cumplido con los recaudos exigidos por la ley y  sobre todo a la luz de la aplicación del interés superior del niño, debe  declararse la inconstitucionalidad de la última parte del art. 607 del C.C.C.N.,  deviniendo inaplicable dicho artículo y el 595 inc. c) del mismo cuerpo  normativo.  </w:t>
      </w:r>
    </w:p>
    <w:p w14:paraId="0000002B" w14:textId="77777777" w:rsidR="00C82B49" w:rsidRDefault="00954538">
      <w:pPr>
        <w:widowControl w:val="0"/>
        <w:pBdr>
          <w:top w:val="nil"/>
          <w:left w:val="nil"/>
          <w:bottom w:val="nil"/>
          <w:right w:val="nil"/>
          <w:between w:val="nil"/>
        </w:pBdr>
        <w:spacing w:before="25" w:line="358" w:lineRule="auto"/>
        <w:ind w:left="1153" w:right="3" w:firstLine="14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23 de Septiembre la Lic. Ceballos aclara los puntos que fueran  objetados por la Defensora de los Derechos del Niño en relación a la pericia  psicológica. Producido ello, ésta última dictamina en forma definitiva el día 24,  en consonancia con lo manifestado por el Ministerio Fiscal, y considera debe  declararse la inconstitucionalidad de los arts. 607 última parte y 595 inc. c) del  C.C.C.N. en el presente caso.  </w:t>
      </w:r>
    </w:p>
    <w:p w14:paraId="0000002C" w14:textId="77777777" w:rsidR="00C82B49" w:rsidRDefault="00954538">
      <w:pPr>
        <w:widowControl w:val="0"/>
        <w:pBdr>
          <w:top w:val="nil"/>
          <w:left w:val="nil"/>
          <w:bottom w:val="nil"/>
          <w:right w:val="nil"/>
          <w:between w:val="nil"/>
        </w:pBdr>
        <w:spacing w:before="25" w:line="240" w:lineRule="auto"/>
        <w:ind w:left="2582"/>
        <w:rPr>
          <w:rFonts w:ascii="Century Gothic" w:eastAsia="Century Gothic" w:hAnsi="Century Gothic" w:cs="Century Gothic"/>
          <w:color w:val="000000"/>
        </w:rPr>
      </w:pPr>
      <w:r>
        <w:rPr>
          <w:rFonts w:ascii="Century Gothic" w:eastAsia="Century Gothic" w:hAnsi="Century Gothic" w:cs="Century Gothic"/>
          <w:color w:val="000000"/>
        </w:rPr>
        <w:t xml:space="preserve">El día 24 se llama a autos para sentencia. </w:t>
      </w:r>
    </w:p>
    <w:p w14:paraId="0000002D" w14:textId="77777777" w:rsidR="00C82B49" w:rsidRDefault="00954538">
      <w:pPr>
        <w:widowControl w:val="0"/>
        <w:pBdr>
          <w:top w:val="nil"/>
          <w:left w:val="nil"/>
          <w:bottom w:val="nil"/>
          <w:right w:val="nil"/>
          <w:between w:val="nil"/>
        </w:pBdr>
        <w:spacing w:before="143" w:line="357" w:lineRule="auto"/>
        <w:ind w:left="1147" w:right="-4" w:firstLine="1424"/>
        <w:jc w:val="both"/>
        <w:rPr>
          <w:rFonts w:ascii="Century Gothic" w:eastAsia="Century Gothic" w:hAnsi="Century Gothic" w:cs="Century Gothic"/>
          <w:color w:val="000000"/>
        </w:rPr>
      </w:pPr>
      <w:r>
        <w:rPr>
          <w:rFonts w:ascii="Century Gothic" w:eastAsia="Century Gothic" w:hAnsi="Century Gothic" w:cs="Century Gothic"/>
          <w:b/>
          <w:color w:val="000000"/>
          <w:u w:val="single"/>
        </w:rPr>
        <w:t>CONSIDERANDO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La resolución de la situación que aquí se nos  plantea demanda una interpretación y consecuente ponderación de  derechos convencionales-constitucionales que se encuentran en colisión: por  un lado, el </w:t>
      </w:r>
      <w:r>
        <w:rPr>
          <w:rFonts w:ascii="Century Gothic" w:eastAsia="Century Gothic" w:hAnsi="Century Gothic" w:cs="Century Gothic"/>
          <w:color w:val="000000"/>
        </w:rPr>
        <w:lastRenderedPageBreak/>
        <w:t>derecho de M. a elegir libremente su deseo de no maternar</w:t>
      </w:r>
      <w:r>
        <w:rPr>
          <w:rFonts w:ascii="Century Gothic" w:eastAsia="Century Gothic" w:hAnsi="Century Gothic" w:cs="Century Gothic"/>
          <w:color w:val="000000"/>
          <w:sz w:val="23"/>
          <w:szCs w:val="23"/>
          <w:vertAlign w:val="superscript"/>
        </w:rPr>
        <w:t xml:space="preserve">2 </w:t>
      </w:r>
      <w:r>
        <w:rPr>
          <w:rFonts w:ascii="Century Gothic" w:eastAsia="Century Gothic" w:hAnsi="Century Gothic" w:cs="Century Gothic"/>
          <w:color w:val="000000"/>
        </w:rPr>
        <w:t xml:space="preserve">y que  se respete su decisión de no indagar en su familia extensa la posibilidad de  permanencia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en su familia de origen y, por el otro, el derecho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w:t>
      </w:r>
    </w:p>
    <w:p w14:paraId="0000002E" w14:textId="77777777" w:rsidR="00C82B49" w:rsidRDefault="00954538">
      <w:pPr>
        <w:widowControl w:val="0"/>
        <w:pBdr>
          <w:top w:val="nil"/>
          <w:left w:val="nil"/>
          <w:bottom w:val="nil"/>
          <w:right w:val="nil"/>
          <w:between w:val="nil"/>
        </w:pBdr>
        <w:spacing w:before="556" w:line="245" w:lineRule="auto"/>
        <w:ind w:left="1158" w:right="15" w:hanging="8"/>
        <w:rPr>
          <w:rFonts w:ascii="Calibri" w:eastAsia="Calibri" w:hAnsi="Calibri" w:cs="Calibri"/>
          <w:color w:val="000000"/>
        </w:rPr>
      </w:pPr>
      <w:r>
        <w:rPr>
          <w:rFonts w:ascii="Calibri" w:eastAsia="Calibri" w:hAnsi="Calibri" w:cs="Calibri"/>
          <w:color w:val="000000"/>
          <w:sz w:val="23"/>
          <w:szCs w:val="23"/>
          <w:vertAlign w:val="superscript"/>
        </w:rPr>
        <w:t xml:space="preserve">2 </w:t>
      </w:r>
      <w:r>
        <w:rPr>
          <w:rFonts w:ascii="Calibri" w:eastAsia="Calibri" w:hAnsi="Calibri" w:cs="Calibri"/>
          <w:color w:val="000000"/>
        </w:rPr>
        <w:t>Art. 1, 2, 3, 4, 5, 12 de la CEDAW, aprobada por ley 23.179 en el año 1985 e incorporada a  nuestra Constitución Nacional en el año 1994 (art. 75 inc. 22); art. 607 inc. b) del C.C.C.N..</w:t>
      </w:r>
    </w:p>
    <w:p w14:paraId="0000002F" w14:textId="77777777" w:rsidR="00C82B49" w:rsidRDefault="00954538">
      <w:pPr>
        <w:widowControl w:val="0"/>
        <w:pBdr>
          <w:top w:val="nil"/>
          <w:left w:val="nil"/>
          <w:bottom w:val="nil"/>
          <w:right w:val="nil"/>
          <w:between w:val="nil"/>
        </w:pBdr>
        <w:spacing w:line="354" w:lineRule="auto"/>
        <w:ind w:left="12" w:right="1132" w:firstLine="5"/>
        <w:rPr>
          <w:rFonts w:ascii="Century Gothic" w:eastAsia="Century Gothic" w:hAnsi="Century Gothic" w:cs="Century Gothic"/>
          <w:color w:val="000000"/>
        </w:rPr>
      </w:pPr>
      <w:r>
        <w:rPr>
          <w:rFonts w:ascii="Century Gothic" w:eastAsia="Century Gothic" w:hAnsi="Century Gothic" w:cs="Century Gothic"/>
          <w:color w:val="000000"/>
        </w:rPr>
        <w:t>a permanecer en ella, salvo que tal decisión no sea respetuosa de su interés  superior</w:t>
      </w:r>
      <w:r>
        <w:rPr>
          <w:rFonts w:ascii="Century Gothic" w:eastAsia="Century Gothic" w:hAnsi="Century Gothic" w:cs="Century Gothic"/>
          <w:color w:val="000000"/>
          <w:sz w:val="23"/>
          <w:szCs w:val="23"/>
          <w:vertAlign w:val="superscript"/>
        </w:rPr>
        <w:t>3</w:t>
      </w:r>
      <w:r>
        <w:rPr>
          <w:rFonts w:ascii="Century Gothic" w:eastAsia="Century Gothic" w:hAnsi="Century Gothic" w:cs="Century Gothic"/>
          <w:color w:val="000000"/>
        </w:rPr>
        <w:t xml:space="preserve">. </w:t>
      </w:r>
    </w:p>
    <w:p w14:paraId="00000030" w14:textId="77777777" w:rsidR="00C82B49" w:rsidRDefault="00954538">
      <w:pPr>
        <w:widowControl w:val="0"/>
        <w:pBdr>
          <w:top w:val="nil"/>
          <w:left w:val="nil"/>
          <w:bottom w:val="nil"/>
          <w:right w:val="nil"/>
          <w:between w:val="nil"/>
        </w:pBdr>
        <w:spacing w:before="33" w:line="357" w:lineRule="auto"/>
        <w:ind w:left="17" w:right="1133" w:firstLine="1414"/>
        <w:rPr>
          <w:rFonts w:ascii="Century Gothic" w:eastAsia="Century Gothic" w:hAnsi="Century Gothic" w:cs="Century Gothic"/>
          <w:color w:val="000000"/>
        </w:rPr>
      </w:pPr>
      <w:r>
        <w:rPr>
          <w:rFonts w:ascii="Century Gothic" w:eastAsia="Century Gothic" w:hAnsi="Century Gothic" w:cs="Century Gothic"/>
          <w:color w:val="000000"/>
        </w:rPr>
        <w:t xml:space="preserve">A fin de dar un orden conceptual al análisis del presente caso,  cabe hacernos tres preguntas que nos guiarán en su desarrollo: 1) Ante la colisión de los derechos descriptos, ¿cual de ellos debe  prevalecer? </w:t>
      </w:r>
    </w:p>
    <w:p w14:paraId="00000031" w14:textId="77777777" w:rsidR="00C82B49" w:rsidRDefault="00954538">
      <w:pPr>
        <w:widowControl w:val="0"/>
        <w:pBdr>
          <w:top w:val="nil"/>
          <w:left w:val="nil"/>
          <w:bottom w:val="nil"/>
          <w:right w:val="nil"/>
          <w:between w:val="nil"/>
        </w:pBdr>
        <w:spacing w:before="25" w:line="358" w:lineRule="auto"/>
        <w:ind w:left="1446" w:right="1133" w:hanging="437"/>
        <w:rPr>
          <w:rFonts w:ascii="Century Gothic" w:eastAsia="Century Gothic" w:hAnsi="Century Gothic" w:cs="Century Gothic"/>
          <w:color w:val="000000"/>
        </w:rPr>
      </w:pPr>
      <w:r>
        <w:rPr>
          <w:rFonts w:ascii="Century Gothic" w:eastAsia="Century Gothic" w:hAnsi="Century Gothic" w:cs="Century Gothic"/>
          <w:color w:val="000000"/>
        </w:rPr>
        <w:t xml:space="preserve">2) La solución adoptada, ¿Es respetuosa del Interés Superior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w:t>
      </w:r>
    </w:p>
    <w:p w14:paraId="00000032" w14:textId="77777777" w:rsidR="00C82B49" w:rsidRDefault="00954538">
      <w:pPr>
        <w:widowControl w:val="0"/>
        <w:pBdr>
          <w:top w:val="nil"/>
          <w:left w:val="nil"/>
          <w:bottom w:val="nil"/>
          <w:right w:val="nil"/>
          <w:between w:val="nil"/>
        </w:pBdr>
        <w:spacing w:before="29" w:line="356" w:lineRule="auto"/>
        <w:ind w:left="1432" w:right="1133" w:hanging="42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3) La prohibición de declarar el estado de </w:t>
      </w:r>
      <w:proofErr w:type="spellStart"/>
      <w:r>
        <w:rPr>
          <w:rFonts w:ascii="Century Gothic" w:eastAsia="Century Gothic" w:hAnsi="Century Gothic" w:cs="Century Gothic"/>
          <w:color w:val="000000"/>
        </w:rPr>
        <w:t>adoptabilidad</w:t>
      </w:r>
      <w:proofErr w:type="spellEnd"/>
      <w:r>
        <w:rPr>
          <w:rFonts w:ascii="Century Gothic" w:eastAsia="Century Gothic" w:hAnsi="Century Gothic" w:cs="Century Gothic"/>
          <w:color w:val="000000"/>
        </w:rPr>
        <w:t xml:space="preserve"> antes del  vencimiento de los 45 días de producido el nacimiento ¿debe  interpretarse en términos absolutos? </w:t>
      </w:r>
    </w:p>
    <w:p w14:paraId="00000033" w14:textId="77777777" w:rsidR="00C82B49" w:rsidRDefault="00954538">
      <w:pPr>
        <w:widowControl w:val="0"/>
        <w:pBdr>
          <w:top w:val="nil"/>
          <w:left w:val="nil"/>
          <w:bottom w:val="nil"/>
          <w:right w:val="nil"/>
          <w:between w:val="nil"/>
        </w:pBdr>
        <w:spacing w:before="426" w:line="363" w:lineRule="auto"/>
        <w:ind w:left="21" w:right="1140" w:firstLine="3"/>
        <w:rPr>
          <w:rFonts w:ascii="Century Gothic" w:eastAsia="Century Gothic" w:hAnsi="Century Gothic" w:cs="Century Gothic"/>
          <w:b/>
          <w:color w:val="000000"/>
        </w:rPr>
      </w:pPr>
      <w:r>
        <w:rPr>
          <w:rFonts w:ascii="Century Gothic" w:eastAsia="Century Gothic" w:hAnsi="Century Gothic" w:cs="Century Gothic"/>
          <w:b/>
          <w:color w:val="000000"/>
        </w:rPr>
        <w:t xml:space="preserve">1) Ante la colisión de los derechos descriptos, ¿cual de ellos debe  prevalecer?  </w:t>
      </w:r>
    </w:p>
    <w:p w14:paraId="00000034" w14:textId="77777777" w:rsidR="00C82B49" w:rsidRDefault="00954538">
      <w:pPr>
        <w:widowControl w:val="0"/>
        <w:pBdr>
          <w:top w:val="nil"/>
          <w:left w:val="nil"/>
          <w:bottom w:val="nil"/>
          <w:right w:val="nil"/>
          <w:between w:val="nil"/>
        </w:pBdr>
        <w:spacing w:before="419" w:line="356" w:lineRule="auto"/>
        <w:ind w:left="17" w:right="1141" w:firstLine="1428"/>
        <w:rPr>
          <w:rFonts w:ascii="Century Gothic" w:eastAsia="Century Gothic" w:hAnsi="Century Gothic" w:cs="Century Gothic"/>
          <w:color w:val="000000"/>
        </w:rPr>
      </w:pPr>
      <w:r>
        <w:rPr>
          <w:rFonts w:ascii="Century Gothic" w:eastAsia="Century Gothic" w:hAnsi="Century Gothic" w:cs="Century Gothic"/>
          <w:color w:val="000000"/>
        </w:rPr>
        <w:t xml:space="preserve">En primer lugar y como fuera sucintamente dicho, debemos  analizar y ponderar el conflicto y colisión de los principios convencionales constitucionales que se produce en el presente caso. </w:t>
      </w:r>
    </w:p>
    <w:p w14:paraId="00000035" w14:textId="77777777" w:rsidR="00C82B49" w:rsidRDefault="00954538">
      <w:pPr>
        <w:widowControl w:val="0"/>
        <w:pBdr>
          <w:top w:val="nil"/>
          <w:left w:val="nil"/>
          <w:bottom w:val="nil"/>
          <w:right w:val="nil"/>
          <w:between w:val="nil"/>
        </w:pBdr>
        <w:spacing w:before="31" w:line="357" w:lineRule="auto"/>
        <w:ind w:left="17" w:right="1130" w:firstLine="1421"/>
        <w:jc w:val="both"/>
        <w:rPr>
          <w:rFonts w:ascii="Century Gothic" w:eastAsia="Century Gothic" w:hAnsi="Century Gothic" w:cs="Century Gothic"/>
          <w:color w:val="000000"/>
        </w:rPr>
      </w:pPr>
      <w:r>
        <w:rPr>
          <w:rFonts w:ascii="Century Gothic" w:eastAsia="Century Gothic" w:hAnsi="Century Gothic" w:cs="Century Gothic"/>
          <w:color w:val="000000"/>
        </w:rPr>
        <w:t>Cabe entonces hacer una primera aclaración introductoria, cuya  explicación ha sido ya desarrollada por el Dr. Andrés Gil Domínguez: La  diferencia entre los principios y las reglas quizás sea una de las respuestas  conceptuales más elaboradas que intenta explicar el carácter abierto de los  derechos, al diferenciarlo de las normas cerradas a efectos de ofrecer una  respuesta a la determinación de un derecho o la colisión de los mismos  mediante un mecanismo de la ponderación</w:t>
      </w:r>
      <w:r>
        <w:rPr>
          <w:rFonts w:ascii="Century Gothic" w:eastAsia="Century Gothic" w:hAnsi="Century Gothic" w:cs="Century Gothic"/>
          <w:color w:val="000000"/>
          <w:sz w:val="23"/>
          <w:szCs w:val="23"/>
          <w:vertAlign w:val="superscript"/>
        </w:rPr>
        <w:t xml:space="preserve">4 </w:t>
      </w:r>
      <w:r>
        <w:rPr>
          <w:rFonts w:ascii="Century Gothic" w:eastAsia="Century Gothic" w:hAnsi="Century Gothic" w:cs="Century Gothic"/>
          <w:color w:val="000000"/>
        </w:rPr>
        <w:t xml:space="preserve">y el principio de  proporcionalidad. </w:t>
      </w:r>
    </w:p>
    <w:p w14:paraId="00000036" w14:textId="77777777" w:rsidR="00C82B49" w:rsidRDefault="00954538">
      <w:pPr>
        <w:widowControl w:val="0"/>
        <w:pBdr>
          <w:top w:val="nil"/>
          <w:left w:val="nil"/>
          <w:bottom w:val="nil"/>
          <w:right w:val="nil"/>
          <w:between w:val="nil"/>
        </w:pBdr>
        <w:spacing w:before="31" w:line="356" w:lineRule="auto"/>
        <w:ind w:left="18" w:right="1133" w:firstLine="142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textura abierta de los derechos trae aparejada dos situaciones  distintas que pueden presentarse en el plano de la realidad: por un lado, la  determinación de un derecho que consiste en verificar si un determinado  </w:t>
      </w:r>
    </w:p>
    <w:p w14:paraId="00000037" w14:textId="77777777" w:rsidR="00C82B49" w:rsidRDefault="00954538">
      <w:pPr>
        <w:widowControl w:val="0"/>
        <w:pBdr>
          <w:top w:val="nil"/>
          <w:left w:val="nil"/>
          <w:bottom w:val="nil"/>
          <w:right w:val="nil"/>
          <w:between w:val="nil"/>
        </w:pBdr>
        <w:spacing w:before="381" w:line="241" w:lineRule="auto"/>
        <w:ind w:left="16" w:right="1141" w:hanging="2"/>
        <w:rPr>
          <w:rFonts w:ascii="Calibri" w:eastAsia="Calibri" w:hAnsi="Calibri" w:cs="Calibri"/>
          <w:color w:val="000000"/>
        </w:rPr>
      </w:pPr>
      <w:r>
        <w:rPr>
          <w:rFonts w:ascii="Calibri" w:eastAsia="Calibri" w:hAnsi="Calibri" w:cs="Calibri"/>
          <w:color w:val="000000"/>
          <w:sz w:val="23"/>
          <w:szCs w:val="23"/>
          <w:vertAlign w:val="superscript"/>
        </w:rPr>
        <w:lastRenderedPageBreak/>
        <w:t xml:space="preserve">3 </w:t>
      </w:r>
      <w:r>
        <w:rPr>
          <w:rFonts w:ascii="Calibri" w:eastAsia="Calibri" w:hAnsi="Calibri" w:cs="Calibri"/>
          <w:color w:val="000000"/>
        </w:rPr>
        <w:t xml:space="preserve">arts. 3, 5, 8, 9, 18, 20, 21, 37 y 40. de la CDN.; Arts. 595 inc. c), 607 </w:t>
      </w:r>
      <w:proofErr w:type="spellStart"/>
      <w:r>
        <w:rPr>
          <w:rFonts w:ascii="Calibri" w:eastAsia="Calibri" w:hAnsi="Calibri" w:cs="Calibri"/>
          <w:color w:val="000000"/>
        </w:rPr>
        <w:t>incs</w:t>
      </w:r>
      <w:proofErr w:type="spellEnd"/>
      <w:r>
        <w:rPr>
          <w:rFonts w:ascii="Calibri" w:eastAsia="Calibri" w:hAnsi="Calibri" w:cs="Calibri"/>
          <w:color w:val="000000"/>
        </w:rPr>
        <w:t xml:space="preserve">. a), b) y parte final y  art. 706 del C.C.C.N.; art. 3 de la ley 26.061 y art. 4 de la ley 2302. </w:t>
      </w:r>
    </w:p>
    <w:p w14:paraId="00000038" w14:textId="77777777" w:rsidR="00C82B49" w:rsidRDefault="00954538">
      <w:pPr>
        <w:widowControl w:val="0"/>
        <w:pBdr>
          <w:top w:val="nil"/>
          <w:left w:val="nil"/>
          <w:bottom w:val="nil"/>
          <w:right w:val="nil"/>
          <w:between w:val="nil"/>
        </w:pBdr>
        <w:spacing w:before="12" w:line="245" w:lineRule="auto"/>
        <w:ind w:left="16" w:right="1143" w:hanging="6"/>
        <w:rPr>
          <w:rFonts w:ascii="Calibri" w:eastAsia="Calibri" w:hAnsi="Calibri" w:cs="Calibri"/>
          <w:color w:val="000000"/>
        </w:rPr>
      </w:pPr>
      <w:r>
        <w:rPr>
          <w:rFonts w:ascii="Calibri" w:eastAsia="Calibri" w:hAnsi="Calibri" w:cs="Calibri"/>
          <w:color w:val="000000"/>
          <w:sz w:val="26"/>
          <w:szCs w:val="26"/>
          <w:vertAlign w:val="superscript"/>
        </w:rPr>
        <w:t xml:space="preserve">4 </w:t>
      </w:r>
      <w:r>
        <w:rPr>
          <w:rFonts w:ascii="Calibri" w:eastAsia="Calibri" w:hAnsi="Calibri" w:cs="Calibri"/>
          <w:color w:val="000000"/>
        </w:rPr>
        <w:t xml:space="preserve">Montealegre, Eduardo (coordinador), </w:t>
      </w:r>
      <w:r>
        <w:rPr>
          <w:rFonts w:ascii="Calibri" w:eastAsia="Calibri" w:hAnsi="Calibri" w:cs="Calibri"/>
          <w:i/>
          <w:color w:val="000000"/>
        </w:rPr>
        <w:t>La ponderación en el derecho</w:t>
      </w:r>
      <w:r>
        <w:rPr>
          <w:rFonts w:ascii="Calibri" w:eastAsia="Calibri" w:hAnsi="Calibri" w:cs="Calibri"/>
          <w:color w:val="000000"/>
        </w:rPr>
        <w:t>, Bogotá, Universidad  externado de Colombia, 2008.</w:t>
      </w:r>
    </w:p>
    <w:p w14:paraId="00000039" w14:textId="77777777" w:rsidR="00C82B49" w:rsidRDefault="00954538">
      <w:pPr>
        <w:widowControl w:val="0"/>
        <w:pBdr>
          <w:top w:val="nil"/>
          <w:left w:val="nil"/>
          <w:bottom w:val="nil"/>
          <w:right w:val="nil"/>
          <w:between w:val="nil"/>
        </w:pBdr>
        <w:spacing w:line="357" w:lineRule="auto"/>
        <w:ind w:left="1147" w:right="-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supuesto de hecho se subsume en el campo conceptual delimitado por un  derecho fundamental y el derecho humano -sin que se observe en dicha  situación ninguna antinomia o controversia entre derechos-, a partir de lo cual,  una persona titulariza un derecho oponible frente al Estado y los demás  particulares. Por el otro, la colisión, en donde existen dos o más derechos  fundamentales y humanos que se encuentran en una situación de tensión que  derivará en la prevalencia de uno respecto de otro -según las circunstancias  del caso concreto- luego de haberse realizado el respectivo juicio de  ponderación, sin que esto implique que el derecho prevalecido desaparezca  de la faz normativa, sino por el contrario, subsiste a la espera de otra  determinación o colisión para volver a actuar. En ambos supuestos, existe una  necesidad ineludible de argumentar constitucionalmente, y esto implica dar  razones suficientes de los resultados a los que se arriba.  </w:t>
      </w:r>
    </w:p>
    <w:p w14:paraId="0000003A" w14:textId="77777777" w:rsidR="00C82B49" w:rsidRDefault="00954538">
      <w:pPr>
        <w:widowControl w:val="0"/>
        <w:pBdr>
          <w:top w:val="nil"/>
          <w:left w:val="nil"/>
          <w:bottom w:val="nil"/>
          <w:right w:val="nil"/>
          <w:between w:val="nil"/>
        </w:pBdr>
        <w:spacing w:before="31" w:line="357" w:lineRule="auto"/>
        <w:ind w:left="1146" w:right="1" w:firstLine="143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determinación o concretización consiste en posibilitar el  ejercicio de un derecho respecto de un supuesto de hecho que pretende ser  subsumido en su contenido, y para ello, se aplican como vectores  interpretativos el principio </w:t>
      </w:r>
      <w:r>
        <w:rPr>
          <w:rFonts w:ascii="Century Gothic" w:eastAsia="Century Gothic" w:hAnsi="Century Gothic" w:cs="Century Gothic"/>
          <w:i/>
          <w:color w:val="000000"/>
        </w:rPr>
        <w:t xml:space="preserve">pro persona, </w:t>
      </w:r>
      <w:r>
        <w:rPr>
          <w:rFonts w:ascii="Century Gothic" w:eastAsia="Century Gothic" w:hAnsi="Century Gothic" w:cs="Century Gothic"/>
          <w:color w:val="000000"/>
        </w:rPr>
        <w:t xml:space="preserve">el principio de progresividad y no  regresividad, el principio de universalidad e interdependencia de los derechos  y el derecho a la no discriminación.  </w:t>
      </w:r>
    </w:p>
    <w:p w14:paraId="0000003B" w14:textId="77777777" w:rsidR="00C82B49" w:rsidRDefault="00954538">
      <w:pPr>
        <w:widowControl w:val="0"/>
        <w:pBdr>
          <w:top w:val="nil"/>
          <w:left w:val="nil"/>
          <w:bottom w:val="nil"/>
          <w:right w:val="nil"/>
          <w:between w:val="nil"/>
        </w:pBdr>
        <w:spacing w:before="30" w:line="356" w:lineRule="auto"/>
        <w:ind w:left="1147" w:right="-1" w:firstLine="1434"/>
        <w:jc w:val="both"/>
        <w:rPr>
          <w:rFonts w:ascii="Century Gothic" w:eastAsia="Century Gothic" w:hAnsi="Century Gothic" w:cs="Century Gothic"/>
          <w:color w:val="000000"/>
        </w:rPr>
      </w:pPr>
      <w:r>
        <w:rPr>
          <w:rFonts w:ascii="Century Gothic" w:eastAsia="Century Gothic" w:hAnsi="Century Gothic" w:cs="Century Gothic"/>
          <w:color w:val="000000"/>
        </w:rPr>
        <w:t>Entonces, la ponderación no es una “conciliación” ni supone  encontrar un punto de equilibrio entre los principios, sino que consiste en la  aplicación parcial o el sacrificio parcial de uno de ellos (uno se aplica, el otro  se descarta). Es por ello que la colisión no se resuelve definitivamente, puesto  que la solución solamente vale para el caso concreto</w:t>
      </w:r>
      <w:r>
        <w:rPr>
          <w:rFonts w:ascii="Century Gothic" w:eastAsia="Century Gothic" w:hAnsi="Century Gothic" w:cs="Century Gothic"/>
          <w:color w:val="000000"/>
          <w:sz w:val="23"/>
          <w:szCs w:val="23"/>
          <w:vertAlign w:val="superscript"/>
        </w:rPr>
        <w:t>5</w:t>
      </w:r>
      <w:r>
        <w:rPr>
          <w:rFonts w:ascii="Century Gothic" w:eastAsia="Century Gothic" w:hAnsi="Century Gothic" w:cs="Century Gothic"/>
          <w:color w:val="000000"/>
        </w:rPr>
        <w:t xml:space="preserve">. </w:t>
      </w:r>
    </w:p>
    <w:p w14:paraId="0000003C" w14:textId="77777777" w:rsidR="00C82B49" w:rsidRDefault="00954538">
      <w:pPr>
        <w:widowControl w:val="0"/>
        <w:pBdr>
          <w:top w:val="nil"/>
          <w:left w:val="nil"/>
          <w:bottom w:val="nil"/>
          <w:right w:val="nil"/>
          <w:between w:val="nil"/>
        </w:pBdr>
        <w:spacing w:before="31" w:line="357" w:lineRule="auto"/>
        <w:ind w:left="1147" w:firstLine="1426"/>
        <w:rPr>
          <w:rFonts w:ascii="Century Gothic" w:eastAsia="Century Gothic" w:hAnsi="Century Gothic" w:cs="Century Gothic"/>
          <w:color w:val="000000"/>
        </w:rPr>
      </w:pPr>
      <w:r>
        <w:rPr>
          <w:rFonts w:ascii="Century Gothic" w:eastAsia="Century Gothic" w:hAnsi="Century Gothic" w:cs="Century Gothic"/>
          <w:color w:val="000000"/>
        </w:rPr>
        <w:t>Cabe recordar que todo principio -como todo derecho- puede ser limitado de manera razonable</w:t>
      </w:r>
      <w:r>
        <w:rPr>
          <w:rFonts w:ascii="Century Gothic" w:eastAsia="Century Gothic" w:hAnsi="Century Gothic" w:cs="Century Gothic"/>
          <w:color w:val="000000"/>
          <w:sz w:val="23"/>
          <w:szCs w:val="23"/>
          <w:vertAlign w:val="superscript"/>
        </w:rPr>
        <w:t>6</w:t>
      </w:r>
      <w:r>
        <w:rPr>
          <w:rFonts w:ascii="Century Gothic" w:eastAsia="Century Gothic" w:hAnsi="Century Gothic" w:cs="Century Gothic"/>
          <w:color w:val="000000"/>
        </w:rPr>
        <w:t xml:space="preserve">, ya que no hay derechos absolutos.  Es así entonces que corresponde evaluar ahora los derechos en  pugna en el presente caso: </w:t>
      </w:r>
    </w:p>
    <w:p w14:paraId="0000003D" w14:textId="77777777" w:rsidR="00C82B49" w:rsidRDefault="00954538">
      <w:pPr>
        <w:widowControl w:val="0"/>
        <w:pBdr>
          <w:top w:val="nil"/>
          <w:left w:val="nil"/>
          <w:bottom w:val="nil"/>
          <w:right w:val="nil"/>
          <w:between w:val="nil"/>
        </w:pBdr>
        <w:spacing w:before="810" w:line="243" w:lineRule="auto"/>
        <w:ind w:left="1148" w:right="7"/>
        <w:jc w:val="both"/>
        <w:rPr>
          <w:rFonts w:ascii="Calibri" w:eastAsia="Calibri" w:hAnsi="Calibri" w:cs="Calibri"/>
          <w:color w:val="000000"/>
        </w:rPr>
      </w:pPr>
      <w:r>
        <w:rPr>
          <w:rFonts w:ascii="Calibri" w:eastAsia="Calibri" w:hAnsi="Calibri" w:cs="Calibri"/>
          <w:color w:val="000000"/>
          <w:sz w:val="23"/>
          <w:szCs w:val="23"/>
          <w:vertAlign w:val="superscript"/>
        </w:rPr>
        <w:lastRenderedPageBreak/>
        <w:t xml:space="preserve">5 </w:t>
      </w:r>
      <w:r>
        <w:rPr>
          <w:rFonts w:ascii="Calibri" w:eastAsia="Calibri" w:hAnsi="Calibri" w:cs="Calibri"/>
          <w:color w:val="000000"/>
        </w:rPr>
        <w:t xml:space="preserve">Andrés Gil </w:t>
      </w:r>
      <w:proofErr w:type="spellStart"/>
      <w:r>
        <w:rPr>
          <w:rFonts w:ascii="Calibri" w:eastAsia="Calibri" w:hAnsi="Calibri" w:cs="Calibri"/>
          <w:color w:val="000000"/>
        </w:rPr>
        <w:t>Dominguez</w:t>
      </w:r>
      <w:proofErr w:type="spellEnd"/>
      <w:r>
        <w:rPr>
          <w:rFonts w:ascii="Calibri" w:eastAsia="Calibri" w:hAnsi="Calibri" w:cs="Calibri"/>
          <w:color w:val="000000"/>
        </w:rPr>
        <w:t xml:space="preserve">, </w:t>
      </w:r>
      <w:r>
        <w:rPr>
          <w:rFonts w:ascii="Calibri" w:eastAsia="Calibri" w:hAnsi="Calibri" w:cs="Calibri"/>
          <w:i/>
          <w:color w:val="000000"/>
        </w:rPr>
        <w:t xml:space="preserve">A 30 Años de la Convención Sobre los Derechos del Niño, </w:t>
      </w:r>
      <w:r>
        <w:rPr>
          <w:rFonts w:ascii="Calibri" w:eastAsia="Calibri" w:hAnsi="Calibri" w:cs="Calibri"/>
          <w:color w:val="000000"/>
        </w:rPr>
        <w:t xml:space="preserve">“El Interés  Superior del Niño”, </w:t>
      </w:r>
      <w:proofErr w:type="spellStart"/>
      <w:r>
        <w:rPr>
          <w:rFonts w:ascii="Calibri" w:eastAsia="Calibri" w:hAnsi="Calibri" w:cs="Calibri"/>
          <w:color w:val="000000"/>
        </w:rPr>
        <w:t>pags</w:t>
      </w:r>
      <w:proofErr w:type="spellEnd"/>
      <w:r>
        <w:rPr>
          <w:rFonts w:ascii="Calibri" w:eastAsia="Calibri" w:hAnsi="Calibri" w:cs="Calibri"/>
          <w:color w:val="000000"/>
        </w:rPr>
        <w:t xml:space="preserve">. 24-26; edición 2020; </w:t>
      </w:r>
      <w:proofErr w:type="spellStart"/>
      <w:r>
        <w:rPr>
          <w:rFonts w:ascii="Calibri" w:eastAsia="Calibri" w:hAnsi="Calibri" w:cs="Calibri"/>
          <w:color w:val="000000"/>
        </w:rPr>
        <w:t>Guastini</w:t>
      </w:r>
      <w:proofErr w:type="spellEnd"/>
      <w:r>
        <w:rPr>
          <w:rFonts w:ascii="Calibri" w:eastAsia="Calibri" w:hAnsi="Calibri" w:cs="Calibri"/>
          <w:color w:val="000000"/>
        </w:rPr>
        <w:t xml:space="preserve">, </w:t>
      </w:r>
      <w:proofErr w:type="spellStart"/>
      <w:r>
        <w:rPr>
          <w:rFonts w:ascii="Calibri" w:eastAsia="Calibri" w:hAnsi="Calibri" w:cs="Calibri"/>
          <w:color w:val="000000"/>
        </w:rPr>
        <w:t>Riccardo</w:t>
      </w:r>
      <w:proofErr w:type="spellEnd"/>
      <w:r>
        <w:rPr>
          <w:rFonts w:ascii="Calibri" w:eastAsia="Calibri" w:hAnsi="Calibri" w:cs="Calibri"/>
          <w:color w:val="000000"/>
        </w:rPr>
        <w:t xml:space="preserve">, </w:t>
      </w:r>
      <w:r>
        <w:rPr>
          <w:rFonts w:ascii="Calibri" w:eastAsia="Calibri" w:hAnsi="Calibri" w:cs="Calibri"/>
          <w:i/>
          <w:color w:val="000000"/>
        </w:rPr>
        <w:t xml:space="preserve">Teoría e ideología de la  interpretación constitucional, </w:t>
      </w:r>
      <w:proofErr w:type="spellStart"/>
      <w:r>
        <w:rPr>
          <w:rFonts w:ascii="Calibri" w:eastAsia="Calibri" w:hAnsi="Calibri" w:cs="Calibri"/>
          <w:color w:val="000000"/>
        </w:rPr>
        <w:t>Madrir</w:t>
      </w:r>
      <w:proofErr w:type="spellEnd"/>
      <w:r>
        <w:rPr>
          <w:rFonts w:ascii="Calibri" w:eastAsia="Calibri" w:hAnsi="Calibri" w:cs="Calibri"/>
          <w:color w:val="000000"/>
        </w:rPr>
        <w:t xml:space="preserve">, </w:t>
      </w:r>
      <w:proofErr w:type="spellStart"/>
      <w:r>
        <w:rPr>
          <w:rFonts w:ascii="Calibri" w:eastAsia="Calibri" w:hAnsi="Calibri" w:cs="Calibri"/>
          <w:color w:val="000000"/>
        </w:rPr>
        <w:t>Trotta</w:t>
      </w:r>
      <w:proofErr w:type="spellEnd"/>
      <w:r>
        <w:rPr>
          <w:rFonts w:ascii="Calibri" w:eastAsia="Calibri" w:hAnsi="Calibri" w:cs="Calibri"/>
          <w:color w:val="000000"/>
        </w:rPr>
        <w:t xml:space="preserve">, 2008, p. 88. </w:t>
      </w:r>
    </w:p>
    <w:p w14:paraId="0000003E" w14:textId="77777777" w:rsidR="00C82B49" w:rsidRDefault="00954538">
      <w:pPr>
        <w:widowControl w:val="0"/>
        <w:pBdr>
          <w:top w:val="nil"/>
          <w:left w:val="nil"/>
          <w:bottom w:val="nil"/>
          <w:right w:val="nil"/>
          <w:between w:val="nil"/>
        </w:pBdr>
        <w:spacing w:before="10" w:line="240" w:lineRule="auto"/>
        <w:ind w:left="1149"/>
        <w:rPr>
          <w:rFonts w:ascii="Calibri" w:eastAsia="Calibri" w:hAnsi="Calibri" w:cs="Calibri"/>
          <w:color w:val="000000"/>
        </w:rPr>
      </w:pPr>
      <w:r>
        <w:rPr>
          <w:rFonts w:ascii="Calibri" w:eastAsia="Calibri" w:hAnsi="Calibri" w:cs="Calibri"/>
          <w:color w:val="000000"/>
          <w:sz w:val="23"/>
          <w:szCs w:val="23"/>
          <w:vertAlign w:val="superscript"/>
        </w:rPr>
        <w:t xml:space="preserve">6 </w:t>
      </w:r>
      <w:r>
        <w:rPr>
          <w:rFonts w:ascii="Calibri" w:eastAsia="Calibri" w:hAnsi="Calibri" w:cs="Calibri"/>
          <w:color w:val="000000"/>
        </w:rPr>
        <w:t>Art. 28 de la Constitución Nacional.</w:t>
      </w:r>
    </w:p>
    <w:p w14:paraId="0000003F" w14:textId="77777777" w:rsidR="00C82B49" w:rsidRDefault="00954538">
      <w:pPr>
        <w:widowControl w:val="0"/>
        <w:pBdr>
          <w:top w:val="nil"/>
          <w:left w:val="nil"/>
          <w:bottom w:val="nil"/>
          <w:right w:val="nil"/>
          <w:between w:val="nil"/>
        </w:pBdr>
        <w:spacing w:line="356" w:lineRule="auto"/>
        <w:ind w:left="17" w:right="1141" w:firstLine="142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 ha señalado enfáticamente su deseo de que no se indague  en la búsqueda de su familia a los fines de evaluar la posibilidad de  permanencia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en ella.  </w:t>
      </w:r>
    </w:p>
    <w:p w14:paraId="00000040" w14:textId="77777777" w:rsidR="00C82B49" w:rsidRDefault="00954538">
      <w:pPr>
        <w:widowControl w:val="0"/>
        <w:pBdr>
          <w:top w:val="nil"/>
          <w:left w:val="nil"/>
          <w:bottom w:val="nil"/>
          <w:right w:val="nil"/>
          <w:between w:val="nil"/>
        </w:pBdr>
        <w:spacing w:before="26" w:line="357" w:lineRule="auto"/>
        <w:ind w:left="17" w:right="1134" w:firstLine="14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repetidas oportunidades ha señalado que no es su deseo  </w:t>
      </w:r>
      <w:proofErr w:type="spellStart"/>
      <w:r>
        <w:rPr>
          <w:rFonts w:ascii="Century Gothic" w:eastAsia="Century Gothic" w:hAnsi="Century Gothic" w:cs="Century Gothic"/>
          <w:color w:val="000000"/>
        </w:rPr>
        <w:t>maternar</w:t>
      </w:r>
      <w:proofErr w:type="spellEnd"/>
      <w:r>
        <w:rPr>
          <w:rFonts w:ascii="Century Gothic" w:eastAsia="Century Gothic" w:hAnsi="Century Gothic" w:cs="Century Gothic"/>
          <w:color w:val="000000"/>
        </w:rPr>
        <w:t xml:space="preserve"> y que considera que su familia no sería un buen entorno de  crecimiento y desarrollo, a lo cual se le agrega el total desconocimiento de  dato alguno sobre la filiación paterna, habiendo ya vencido el plazo previsto  por el art. 607 inc. a) del C.C.C.N. Considera que lo más beneficioso para 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es la búsqueda de una familia que lo desee y espere con amor y  contención.  </w:t>
      </w:r>
    </w:p>
    <w:p w14:paraId="00000041" w14:textId="77777777" w:rsidR="00C82B49" w:rsidRDefault="00954538">
      <w:pPr>
        <w:widowControl w:val="0"/>
        <w:pBdr>
          <w:top w:val="nil"/>
          <w:left w:val="nil"/>
          <w:bottom w:val="nil"/>
          <w:right w:val="nil"/>
          <w:between w:val="nil"/>
        </w:pBdr>
        <w:spacing w:before="30" w:line="356" w:lineRule="auto"/>
        <w:ind w:left="12" w:right="1141" w:firstLine="142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Claro que su decisión es irrefutable en lo que a su deseo de no  </w:t>
      </w:r>
      <w:proofErr w:type="spellStart"/>
      <w:r>
        <w:rPr>
          <w:rFonts w:ascii="Century Gothic" w:eastAsia="Century Gothic" w:hAnsi="Century Gothic" w:cs="Century Gothic"/>
          <w:color w:val="000000"/>
        </w:rPr>
        <w:t>maternar</w:t>
      </w:r>
      <w:proofErr w:type="spellEnd"/>
      <w:r>
        <w:rPr>
          <w:rFonts w:ascii="Century Gothic" w:eastAsia="Century Gothic" w:hAnsi="Century Gothic" w:cs="Century Gothic"/>
          <w:color w:val="000000"/>
        </w:rPr>
        <w:t xml:space="preserve"> respecta, pero ello debe ser analizado a la luz de otros principios que  se encuentran en conflicto. </w:t>
      </w:r>
    </w:p>
    <w:p w14:paraId="00000042" w14:textId="77777777" w:rsidR="00C82B49" w:rsidRDefault="00954538">
      <w:pPr>
        <w:widowControl w:val="0"/>
        <w:pBdr>
          <w:top w:val="nil"/>
          <w:left w:val="nil"/>
          <w:bottom w:val="nil"/>
          <w:right w:val="nil"/>
          <w:between w:val="nil"/>
        </w:pBdr>
        <w:spacing w:before="31" w:line="356" w:lineRule="auto"/>
        <w:ind w:left="15" w:right="1131" w:firstLine="142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Como punta pie inicial, el art. 594 del C.C.C.N. comienza con una  definición: establece que la adopción es una figura tendiente a que todo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que no puede vivir en su familia de origen o ampliada, pueda hacerlo en otra  familia de manera permanente y estable, viendo satisfecho, de este modo, su  derecho humano a tener y vivir en familia. </w:t>
      </w:r>
    </w:p>
    <w:p w14:paraId="00000043" w14:textId="77777777" w:rsidR="00C82B49" w:rsidRDefault="00954538">
      <w:pPr>
        <w:widowControl w:val="0"/>
        <w:pBdr>
          <w:top w:val="nil"/>
          <w:left w:val="nil"/>
          <w:bottom w:val="nil"/>
          <w:right w:val="nil"/>
          <w:between w:val="nil"/>
        </w:pBdr>
        <w:spacing w:before="31" w:line="357" w:lineRule="auto"/>
        <w:ind w:left="12" w:right="1137" w:firstLine="14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Así, el art. 594 del C.C.C.N. coloca a </w:t>
      </w:r>
      <w:proofErr w:type="spellStart"/>
      <w:r>
        <w:rPr>
          <w:rFonts w:ascii="Century Gothic" w:eastAsia="Century Gothic" w:hAnsi="Century Gothic" w:cs="Century Gothic"/>
          <w:color w:val="000000"/>
        </w:rPr>
        <w:t>lxs</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niñxs</w:t>
      </w:r>
      <w:proofErr w:type="spellEnd"/>
      <w:r>
        <w:rPr>
          <w:rFonts w:ascii="Century Gothic" w:eastAsia="Century Gothic" w:hAnsi="Century Gothic" w:cs="Century Gothic"/>
          <w:color w:val="000000"/>
        </w:rPr>
        <w:t xml:space="preserve"> y adolescentes en el  centro de la escena y afirma que la adopción tiende a proteger su derecho a  vivir y desarrollarse en una familia que le procure satisfacer sus necesidades  afectivas y materiales, siempre y cuando ellas no puedan ser proporcionadas  por la familia de origen.  </w:t>
      </w:r>
    </w:p>
    <w:p w14:paraId="00000044" w14:textId="77777777" w:rsidR="00C82B49" w:rsidRDefault="00954538">
      <w:pPr>
        <w:widowControl w:val="0"/>
        <w:pBdr>
          <w:top w:val="nil"/>
          <w:left w:val="nil"/>
          <w:bottom w:val="nil"/>
          <w:right w:val="nil"/>
          <w:between w:val="nil"/>
        </w:pBdr>
        <w:spacing w:before="25" w:line="357" w:lineRule="auto"/>
        <w:ind w:left="17" w:right="1134" w:firstLine="1428"/>
        <w:rPr>
          <w:rFonts w:ascii="Century Gothic" w:eastAsia="Century Gothic" w:hAnsi="Century Gothic" w:cs="Century Gothic"/>
          <w:color w:val="000000"/>
        </w:rPr>
      </w:pPr>
      <w:r>
        <w:rPr>
          <w:rFonts w:ascii="Century Gothic" w:eastAsia="Century Gothic" w:hAnsi="Century Gothic" w:cs="Century Gothic"/>
          <w:color w:val="000000"/>
        </w:rPr>
        <w:t xml:space="preserve">El art. 595, por su parte, explica los principios constitucionales convencionales centrales que sostienen y estructuran la regulación de la  adopción: entre ellas, claro, el agotamiento de las posibilidades de  permanencia en la familia de origen o ampliada (inc. c).  </w:t>
      </w:r>
    </w:p>
    <w:p w14:paraId="00000045" w14:textId="77777777" w:rsidR="00C82B49" w:rsidRDefault="00954538">
      <w:pPr>
        <w:widowControl w:val="0"/>
        <w:pBdr>
          <w:top w:val="nil"/>
          <w:left w:val="nil"/>
          <w:bottom w:val="nil"/>
          <w:right w:val="nil"/>
          <w:between w:val="nil"/>
        </w:pBdr>
        <w:spacing w:before="30" w:line="356" w:lineRule="auto"/>
        <w:ind w:left="23" w:right="1134" w:firstLine="142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preservación del vínculo familiar de origen es uno de los  principios básicos, a tal punto que el C.C.C.N. establece expresamente la  prohibición de declarar a un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en situación de </w:t>
      </w:r>
      <w:proofErr w:type="spellStart"/>
      <w:r>
        <w:rPr>
          <w:rFonts w:ascii="Century Gothic" w:eastAsia="Century Gothic" w:hAnsi="Century Gothic" w:cs="Century Gothic"/>
          <w:color w:val="000000"/>
        </w:rPr>
        <w:t>adoptabilidad</w:t>
      </w:r>
      <w:proofErr w:type="spellEnd"/>
      <w:r>
        <w:rPr>
          <w:rFonts w:ascii="Century Gothic" w:eastAsia="Century Gothic" w:hAnsi="Century Gothic" w:cs="Century Gothic"/>
          <w:color w:val="000000"/>
        </w:rPr>
        <w:t xml:space="preserve"> si algún </w:t>
      </w:r>
    </w:p>
    <w:p w14:paraId="00000046" w14:textId="77777777" w:rsidR="00C82B49" w:rsidRDefault="00954538">
      <w:pPr>
        <w:widowControl w:val="0"/>
        <w:pBdr>
          <w:top w:val="nil"/>
          <w:left w:val="nil"/>
          <w:bottom w:val="nil"/>
          <w:right w:val="nil"/>
          <w:between w:val="nil"/>
        </w:pBdr>
        <w:spacing w:line="354" w:lineRule="auto"/>
        <w:ind w:left="1153" w:right="75" w:hanging="2"/>
        <w:rPr>
          <w:rFonts w:ascii="Century Gothic" w:eastAsia="Century Gothic" w:hAnsi="Century Gothic" w:cs="Century Gothic"/>
          <w:color w:val="000000"/>
        </w:rPr>
      </w:pPr>
      <w:r>
        <w:rPr>
          <w:rFonts w:ascii="Century Gothic" w:eastAsia="Century Gothic" w:hAnsi="Century Gothic" w:cs="Century Gothic"/>
          <w:color w:val="000000"/>
        </w:rPr>
        <w:lastRenderedPageBreak/>
        <w:t>familiar o referente afectivo ofrece asumir su guarda o tutela y tal pedido es considerado adecuando en el interés de éste”</w:t>
      </w:r>
      <w:r>
        <w:rPr>
          <w:rFonts w:ascii="Century Gothic" w:eastAsia="Century Gothic" w:hAnsi="Century Gothic" w:cs="Century Gothic"/>
          <w:color w:val="000000"/>
          <w:sz w:val="23"/>
          <w:szCs w:val="23"/>
          <w:vertAlign w:val="superscript"/>
        </w:rPr>
        <w:t>7</w:t>
      </w:r>
      <w:r>
        <w:rPr>
          <w:rFonts w:ascii="Century Gothic" w:eastAsia="Century Gothic" w:hAnsi="Century Gothic" w:cs="Century Gothic"/>
          <w:color w:val="000000"/>
        </w:rPr>
        <w:t xml:space="preserve">, </w:t>
      </w:r>
      <w:r>
        <w:rPr>
          <w:rFonts w:ascii="Century Gothic" w:eastAsia="Century Gothic" w:hAnsi="Century Gothic" w:cs="Century Gothic"/>
          <w:color w:val="000000"/>
          <w:sz w:val="23"/>
          <w:szCs w:val="23"/>
          <w:vertAlign w:val="superscript"/>
        </w:rPr>
        <w:t>8</w:t>
      </w:r>
      <w:r>
        <w:rPr>
          <w:rFonts w:ascii="Century Gothic" w:eastAsia="Century Gothic" w:hAnsi="Century Gothic" w:cs="Century Gothic"/>
          <w:color w:val="000000"/>
        </w:rPr>
        <w:t xml:space="preserve">. </w:t>
      </w:r>
    </w:p>
    <w:p w14:paraId="00000047" w14:textId="77777777" w:rsidR="00C82B49" w:rsidRDefault="00954538">
      <w:pPr>
        <w:widowControl w:val="0"/>
        <w:pBdr>
          <w:top w:val="nil"/>
          <w:left w:val="nil"/>
          <w:bottom w:val="nil"/>
          <w:right w:val="nil"/>
          <w:between w:val="nil"/>
        </w:pBdr>
        <w:spacing w:before="33" w:line="357" w:lineRule="auto"/>
        <w:ind w:left="1138" w:right="-4" w:firstLine="1430"/>
        <w:jc w:val="both"/>
        <w:rPr>
          <w:rFonts w:ascii="Century Gothic" w:eastAsia="Century Gothic" w:hAnsi="Century Gothic" w:cs="Century Gothic"/>
          <w:i/>
          <w:color w:val="000000"/>
        </w:rPr>
      </w:pPr>
      <w:r>
        <w:rPr>
          <w:rFonts w:ascii="Century Gothic" w:eastAsia="Century Gothic" w:hAnsi="Century Gothic" w:cs="Century Gothic"/>
          <w:color w:val="000000"/>
        </w:rPr>
        <w:t>Ya ha dicho la Corte IDH: “</w:t>
      </w:r>
      <w:r>
        <w:rPr>
          <w:rFonts w:ascii="Century Gothic" w:eastAsia="Century Gothic" w:hAnsi="Century Gothic" w:cs="Century Gothic"/>
          <w:i/>
          <w:color w:val="000000"/>
        </w:rPr>
        <w:t>Además, es pertinente recordar que la  familia a la que toda niña y niño tiene derecho es, principalmente, a su familia  biológica, incluyendo a los familiares más cercanos, la cual debe brindar la  protección a la niña y al niño y, a su vez, debe ser objeto primordialmente de  medidas de protección por parte del Estado. No obstante, la Corte recuerda  que no existe un modelo único de familia. Por ello, la definición no debe  restringirse por la noción tradicional de pareja y sus hijos, pues también pueden  ser titulares del derecho a la vida familiar otros parientes, como los tíos, primos  y abuelos, para enumerar solo algunos miembros posibles de la familia extensa,  siempre que tengan lazos cercanos personales… Es por ello que el Estado tiene  la obligación de determinar en cada caso la constitución del núcleo familiar  de la niña o del niño… La corte utilizará en un sentido amplio el término  “progenitores” de la niña o del niño y, por lo tanto, son titulares de la  protección a la familia acordada en los artículos 17 de la Convención y VI de  la Declaración Americana. En igual sentido, el Comité de los Derechos del  Niño ha sostenido que el término “familia” debe interpretarse en un sentido  amplio que incluya a los padres biológicos, adoptivos o de acogida o, en su  caso, a los miembros de la familia ampliada o la comunidad, según establezca  la costumbre local”</w:t>
      </w:r>
      <w:r>
        <w:rPr>
          <w:rFonts w:ascii="Century Gothic" w:eastAsia="Century Gothic" w:hAnsi="Century Gothic" w:cs="Century Gothic"/>
          <w:i/>
          <w:color w:val="000000"/>
          <w:sz w:val="23"/>
          <w:szCs w:val="23"/>
          <w:vertAlign w:val="superscript"/>
        </w:rPr>
        <w:t>9</w:t>
      </w:r>
      <w:r>
        <w:rPr>
          <w:rFonts w:ascii="Century Gothic" w:eastAsia="Century Gothic" w:hAnsi="Century Gothic" w:cs="Century Gothic"/>
          <w:i/>
          <w:color w:val="000000"/>
        </w:rPr>
        <w:t xml:space="preserve">. </w:t>
      </w:r>
    </w:p>
    <w:p w14:paraId="00000048" w14:textId="77777777" w:rsidR="00C82B49" w:rsidRDefault="00954538">
      <w:pPr>
        <w:widowControl w:val="0"/>
        <w:pBdr>
          <w:top w:val="nil"/>
          <w:left w:val="nil"/>
          <w:bottom w:val="nil"/>
          <w:right w:val="nil"/>
          <w:between w:val="nil"/>
        </w:pBdr>
        <w:spacing w:before="30" w:line="357" w:lineRule="auto"/>
        <w:ind w:left="1150" w:right="-4" w:firstLine="141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Ahora bien, como fuera descripto al inicio de este análisis, no  podemos perder de vista que los principios del derecho deben ser entendidos  como tales. A diferencia de lo que acontece con las reglas, aquellos no  pueden interpretarse como directrices estancas, rígidas e inmutables, sino que  funcionan como guías básicas que admiten su flexibilización cuando las  circunstancias así lo ameritan, siempre y cuando dicha solución sea la más  armónica y respetuosa de los intereses en pugna. En definitiva, es la ley la que  </w:t>
      </w:r>
    </w:p>
    <w:p w14:paraId="00000049" w14:textId="77777777" w:rsidR="00C82B49" w:rsidRDefault="00954538">
      <w:pPr>
        <w:widowControl w:val="0"/>
        <w:pBdr>
          <w:top w:val="nil"/>
          <w:left w:val="nil"/>
          <w:bottom w:val="nil"/>
          <w:right w:val="nil"/>
          <w:between w:val="nil"/>
        </w:pBdr>
        <w:spacing w:before="540" w:line="240" w:lineRule="auto"/>
        <w:ind w:left="1148"/>
        <w:rPr>
          <w:rFonts w:ascii="Calibri" w:eastAsia="Calibri" w:hAnsi="Calibri" w:cs="Calibri"/>
          <w:color w:val="000000"/>
        </w:rPr>
      </w:pPr>
      <w:r>
        <w:rPr>
          <w:rFonts w:ascii="Calibri" w:eastAsia="Calibri" w:hAnsi="Calibri" w:cs="Calibri"/>
          <w:color w:val="000000"/>
          <w:sz w:val="23"/>
          <w:szCs w:val="23"/>
          <w:vertAlign w:val="superscript"/>
        </w:rPr>
        <w:t xml:space="preserve">7 </w:t>
      </w:r>
      <w:r>
        <w:rPr>
          <w:rFonts w:ascii="Calibri" w:eastAsia="Calibri" w:hAnsi="Calibri" w:cs="Calibri"/>
          <w:color w:val="000000"/>
        </w:rPr>
        <w:t xml:space="preserve">Art. 607 in fine del C.C.C.N.  </w:t>
      </w:r>
    </w:p>
    <w:p w14:paraId="0000004A" w14:textId="77777777" w:rsidR="00C82B49" w:rsidRDefault="00954538">
      <w:pPr>
        <w:widowControl w:val="0"/>
        <w:pBdr>
          <w:top w:val="nil"/>
          <w:left w:val="nil"/>
          <w:bottom w:val="nil"/>
          <w:right w:val="nil"/>
          <w:between w:val="nil"/>
        </w:pBdr>
        <w:spacing w:before="13" w:line="241" w:lineRule="auto"/>
        <w:ind w:left="1160" w:right="8" w:hanging="12"/>
        <w:rPr>
          <w:rFonts w:ascii="Calibri" w:eastAsia="Calibri" w:hAnsi="Calibri" w:cs="Calibri"/>
          <w:color w:val="000000"/>
        </w:rPr>
      </w:pPr>
      <w:r>
        <w:rPr>
          <w:rFonts w:ascii="Calibri" w:eastAsia="Calibri" w:hAnsi="Calibri" w:cs="Calibri"/>
          <w:color w:val="000000"/>
          <w:sz w:val="23"/>
          <w:szCs w:val="23"/>
          <w:vertAlign w:val="superscript"/>
        </w:rPr>
        <w:t xml:space="preserve">8 </w:t>
      </w:r>
      <w:r>
        <w:rPr>
          <w:rFonts w:ascii="Calibri" w:eastAsia="Calibri" w:hAnsi="Calibri" w:cs="Calibri"/>
          <w:color w:val="000000"/>
        </w:rPr>
        <w:t xml:space="preserve">Marisa Herrera; </w:t>
      </w:r>
      <w:r>
        <w:rPr>
          <w:rFonts w:ascii="Calibri" w:eastAsia="Calibri" w:hAnsi="Calibri" w:cs="Calibri"/>
          <w:i/>
          <w:color w:val="000000"/>
        </w:rPr>
        <w:t xml:space="preserve">A 30 Años de la Convención Sobre los Derechos del Niño; </w:t>
      </w:r>
      <w:r>
        <w:rPr>
          <w:rFonts w:ascii="Calibri" w:eastAsia="Calibri" w:hAnsi="Calibri" w:cs="Calibri"/>
          <w:color w:val="000000"/>
        </w:rPr>
        <w:t xml:space="preserve">El Derecho a la  Identidad de los Niños, Niñas y Adolescentes; Edición 2020. </w:t>
      </w:r>
      <w:proofErr w:type="spellStart"/>
      <w:r>
        <w:rPr>
          <w:rFonts w:ascii="Calibri" w:eastAsia="Calibri" w:hAnsi="Calibri" w:cs="Calibri"/>
          <w:color w:val="000000"/>
        </w:rPr>
        <w:t>Pag</w:t>
      </w:r>
      <w:proofErr w:type="spellEnd"/>
      <w:r>
        <w:rPr>
          <w:rFonts w:ascii="Calibri" w:eastAsia="Calibri" w:hAnsi="Calibri" w:cs="Calibri"/>
          <w:color w:val="000000"/>
        </w:rPr>
        <w:t xml:space="preserve">. 847. </w:t>
      </w:r>
    </w:p>
    <w:p w14:paraId="0000004B" w14:textId="77777777" w:rsidR="00C82B49" w:rsidRDefault="00954538">
      <w:pPr>
        <w:widowControl w:val="0"/>
        <w:pBdr>
          <w:top w:val="nil"/>
          <w:left w:val="nil"/>
          <w:bottom w:val="nil"/>
          <w:right w:val="nil"/>
          <w:between w:val="nil"/>
        </w:pBdr>
        <w:spacing w:before="12" w:line="245" w:lineRule="auto"/>
        <w:ind w:left="1151" w:right="16" w:hanging="4"/>
        <w:rPr>
          <w:rFonts w:ascii="Calibri" w:eastAsia="Calibri" w:hAnsi="Calibri" w:cs="Calibri"/>
          <w:color w:val="000000"/>
        </w:rPr>
      </w:pPr>
      <w:r>
        <w:rPr>
          <w:rFonts w:ascii="Calibri" w:eastAsia="Calibri" w:hAnsi="Calibri" w:cs="Calibri"/>
          <w:color w:val="000000"/>
          <w:sz w:val="23"/>
          <w:szCs w:val="23"/>
          <w:vertAlign w:val="superscript"/>
        </w:rPr>
        <w:t xml:space="preserve">9 </w:t>
      </w:r>
      <w:r>
        <w:rPr>
          <w:rFonts w:ascii="Calibri" w:eastAsia="Calibri" w:hAnsi="Calibri" w:cs="Calibri"/>
          <w:color w:val="000000"/>
        </w:rPr>
        <w:t xml:space="preserve">Corte IDH, 19/08/2014, Opinión Consultiva 21 “Derechos y garantías de niñas y niños en el  </w:t>
      </w:r>
      <w:r>
        <w:rPr>
          <w:rFonts w:ascii="Calibri" w:eastAsia="Calibri" w:hAnsi="Calibri" w:cs="Calibri"/>
          <w:color w:val="000000"/>
        </w:rPr>
        <w:lastRenderedPageBreak/>
        <w:t xml:space="preserve">contexto de la migración y/o necesidad de protección internacional”. </w:t>
      </w:r>
    </w:p>
    <w:p w14:paraId="0000004C" w14:textId="77777777" w:rsidR="00C82B49" w:rsidRDefault="00954538">
      <w:pPr>
        <w:widowControl w:val="0"/>
        <w:pBdr>
          <w:top w:val="nil"/>
          <w:left w:val="nil"/>
          <w:bottom w:val="nil"/>
          <w:right w:val="nil"/>
          <w:between w:val="nil"/>
        </w:pBdr>
        <w:spacing w:line="354" w:lineRule="auto"/>
        <w:ind w:left="18" w:right="1131"/>
        <w:rPr>
          <w:rFonts w:ascii="Century Gothic" w:eastAsia="Century Gothic" w:hAnsi="Century Gothic" w:cs="Century Gothic"/>
          <w:color w:val="000000"/>
        </w:rPr>
      </w:pPr>
      <w:r>
        <w:rPr>
          <w:rFonts w:ascii="Century Gothic" w:eastAsia="Century Gothic" w:hAnsi="Century Gothic" w:cs="Century Gothic"/>
          <w:color w:val="000000"/>
        </w:rPr>
        <w:t xml:space="preserve">debe adaptarse al caso particular y no el caso particular el que deba  adaptarse a la ley. </w:t>
      </w:r>
    </w:p>
    <w:p w14:paraId="0000004D" w14:textId="77777777" w:rsidR="00C82B49" w:rsidRDefault="00954538">
      <w:pPr>
        <w:widowControl w:val="0"/>
        <w:pBdr>
          <w:top w:val="nil"/>
          <w:left w:val="nil"/>
          <w:bottom w:val="nil"/>
          <w:right w:val="nil"/>
          <w:between w:val="nil"/>
        </w:pBdr>
        <w:spacing w:before="33" w:line="357" w:lineRule="auto"/>
        <w:ind w:right="1130" w:firstLine="143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Claro está que el análisis de la presente situación no puede -ni  debe- escapar a las circunstancias socio-culturales que imperan: y es que el  género como tal, concebido como una construcción histórico-cultural que  prescribe determinadas formas de pensar, sentir y ser para hombres y mujeres,  es siempre un referente, una especie de concreción socio-histórica que se  juega en la cotidianeidad consciente y la más de las veces inconsciente, pero  siempre con consecuencias: lo femenino y lo masculino son no solo construcciones sociales, sino también filtro cultural, constitución subjetiva e  interpretación genérica del mundo. </w:t>
      </w:r>
    </w:p>
    <w:p w14:paraId="0000004E" w14:textId="77777777" w:rsidR="00C82B49" w:rsidRDefault="00954538">
      <w:pPr>
        <w:widowControl w:val="0"/>
        <w:pBdr>
          <w:top w:val="nil"/>
          <w:left w:val="nil"/>
          <w:bottom w:val="nil"/>
          <w:right w:val="nil"/>
          <w:between w:val="nil"/>
        </w:pBdr>
        <w:spacing w:before="30" w:line="357" w:lineRule="auto"/>
        <w:ind w:left="16" w:right="1131" w:firstLine="143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general las distintas explicaciones coinciden en la existencia  de dos constantes históricas como elementos determinantes en la  construcción social de la feminidad: una de ellas, lo que Bourdieu denomina el  cuerpo de la mujer como capital simbólico, en tanto objeto de apropiación y  deseo, como cuerpo para el otro. Por otra parte, la mujer/madre -con  independencia de si lo es-, siempre al servicio y cuidado de los demás,  </w:t>
      </w:r>
    </w:p>
    <w:p w14:paraId="0000004F" w14:textId="77777777" w:rsidR="00C82B49" w:rsidRDefault="00954538">
      <w:pPr>
        <w:widowControl w:val="0"/>
        <w:pBdr>
          <w:top w:val="nil"/>
          <w:left w:val="nil"/>
          <w:bottom w:val="nil"/>
          <w:right w:val="nil"/>
          <w:between w:val="nil"/>
        </w:pBdr>
        <w:spacing w:before="25" w:line="357" w:lineRule="auto"/>
        <w:ind w:left="15" w:right="1132" w:firstLine="143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Para </w:t>
      </w:r>
      <w:proofErr w:type="spellStart"/>
      <w:r>
        <w:rPr>
          <w:rFonts w:ascii="Century Gothic" w:eastAsia="Century Gothic" w:hAnsi="Century Gothic" w:cs="Century Gothic"/>
          <w:color w:val="000000"/>
        </w:rPr>
        <w:t>Lagarde</w:t>
      </w:r>
      <w:proofErr w:type="spellEnd"/>
      <w:r>
        <w:rPr>
          <w:rFonts w:ascii="Century Gothic" w:eastAsia="Century Gothic" w:hAnsi="Century Gothic" w:cs="Century Gothic"/>
          <w:color w:val="000000"/>
        </w:rPr>
        <w:t xml:space="preserve"> (1997), históricamente la feminidad está  atravesada por una dimensión </w:t>
      </w:r>
      <w:proofErr w:type="spellStart"/>
      <w:r>
        <w:rPr>
          <w:rFonts w:ascii="Century Gothic" w:eastAsia="Century Gothic" w:hAnsi="Century Gothic" w:cs="Century Gothic"/>
          <w:color w:val="000000"/>
        </w:rPr>
        <w:t>óntica</w:t>
      </w:r>
      <w:proofErr w:type="spellEnd"/>
      <w:r>
        <w:rPr>
          <w:rFonts w:ascii="Century Gothic" w:eastAsia="Century Gothic" w:hAnsi="Century Gothic" w:cs="Century Gothic"/>
          <w:color w:val="000000"/>
        </w:rPr>
        <w:t xml:space="preserve"> de ser para otros. Esta condición remite  a la mujer a una permanente </w:t>
      </w:r>
      <w:proofErr w:type="spellStart"/>
      <w:r>
        <w:rPr>
          <w:rFonts w:ascii="Century Gothic" w:eastAsia="Century Gothic" w:hAnsi="Century Gothic" w:cs="Century Gothic"/>
          <w:color w:val="000000"/>
        </w:rPr>
        <w:t>incompletitud</w:t>
      </w:r>
      <w:proofErr w:type="spellEnd"/>
      <w:r>
        <w:rPr>
          <w:rFonts w:ascii="Century Gothic" w:eastAsia="Century Gothic" w:hAnsi="Century Gothic" w:cs="Century Gothic"/>
          <w:color w:val="000000"/>
        </w:rPr>
        <w:t xml:space="preserve"> y la ubica al servicio de una ética  de cuidados, encargada de dar, preservar, proteger y reproducir la vida. Los  demás siempre tendrán prioridad sobre ella vehiculizando su ser femenino en  la postergación de sí misma. Así, entonces, se construye su identidad en  función de esta relación de servidumbre, sometimiento y dominio  históricamente dados</w:t>
      </w:r>
      <w:r>
        <w:rPr>
          <w:rFonts w:ascii="Century Gothic" w:eastAsia="Century Gothic" w:hAnsi="Century Gothic" w:cs="Century Gothic"/>
          <w:color w:val="000000"/>
          <w:sz w:val="23"/>
          <w:szCs w:val="23"/>
          <w:vertAlign w:val="superscript"/>
        </w:rPr>
        <w:t>10</w:t>
      </w:r>
      <w:r>
        <w:rPr>
          <w:rFonts w:ascii="Century Gothic" w:eastAsia="Century Gothic" w:hAnsi="Century Gothic" w:cs="Century Gothic"/>
          <w:color w:val="000000"/>
        </w:rPr>
        <w:t xml:space="preserve">. </w:t>
      </w:r>
    </w:p>
    <w:p w14:paraId="00000050" w14:textId="77777777" w:rsidR="00C82B49" w:rsidRDefault="00954538">
      <w:pPr>
        <w:widowControl w:val="0"/>
        <w:pBdr>
          <w:top w:val="nil"/>
          <w:left w:val="nil"/>
          <w:bottom w:val="nil"/>
          <w:right w:val="nil"/>
          <w:between w:val="nil"/>
        </w:pBdr>
        <w:spacing w:before="25" w:line="357" w:lineRule="auto"/>
        <w:ind w:left="16" w:right="1135" w:firstLine="142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Comisión Interamericana de Derechos Humanos (CIDH) ha  precisado una doble concepción del derecho a la igualdad y a la no  discriminación: una relacionada con la prohibición de diferencia de trato  arbitraria; y otra relacionada con la obligación de crear condiciones de  igualdad real y efectiva frente a grupos que han sido históricamente excluidos  </w:t>
      </w:r>
    </w:p>
    <w:p w14:paraId="00000051" w14:textId="77777777" w:rsidR="00C82B49" w:rsidRDefault="00954538">
      <w:pPr>
        <w:widowControl w:val="0"/>
        <w:pBdr>
          <w:top w:val="nil"/>
          <w:left w:val="nil"/>
          <w:bottom w:val="nil"/>
          <w:right w:val="nil"/>
          <w:between w:val="nil"/>
        </w:pBdr>
        <w:spacing w:before="290" w:line="245" w:lineRule="auto"/>
        <w:ind w:left="13" w:right="1149" w:firstLine="5"/>
        <w:jc w:val="both"/>
        <w:rPr>
          <w:rFonts w:ascii="Calibri" w:eastAsia="Calibri" w:hAnsi="Calibri" w:cs="Calibri"/>
          <w:color w:val="000000"/>
        </w:rPr>
      </w:pPr>
      <w:r>
        <w:rPr>
          <w:rFonts w:ascii="Calibri" w:eastAsia="Calibri" w:hAnsi="Calibri" w:cs="Calibri"/>
          <w:color w:val="000000"/>
          <w:sz w:val="23"/>
          <w:szCs w:val="23"/>
          <w:vertAlign w:val="superscript"/>
        </w:rPr>
        <w:t xml:space="preserve">10 </w:t>
      </w:r>
      <w:r>
        <w:rPr>
          <w:rFonts w:ascii="Calibri" w:eastAsia="Calibri" w:hAnsi="Calibri" w:cs="Calibri"/>
          <w:color w:val="000000"/>
        </w:rPr>
        <w:t xml:space="preserve">Manuel </w:t>
      </w:r>
      <w:proofErr w:type="spellStart"/>
      <w:r>
        <w:rPr>
          <w:rFonts w:ascii="Calibri" w:eastAsia="Calibri" w:hAnsi="Calibri" w:cs="Calibri"/>
          <w:color w:val="000000"/>
        </w:rPr>
        <w:t>Martinez</w:t>
      </w:r>
      <w:proofErr w:type="spellEnd"/>
      <w:r>
        <w:rPr>
          <w:rFonts w:ascii="Calibri" w:eastAsia="Calibri" w:hAnsi="Calibri" w:cs="Calibri"/>
          <w:color w:val="000000"/>
        </w:rPr>
        <w:t xml:space="preserve">-Herrera; </w:t>
      </w:r>
      <w:r>
        <w:rPr>
          <w:rFonts w:ascii="Calibri" w:eastAsia="Calibri" w:hAnsi="Calibri" w:cs="Calibri"/>
          <w:i/>
          <w:color w:val="000000"/>
        </w:rPr>
        <w:t xml:space="preserve">La constricción de la feminidad: la mujer como sujeto de la  historia </w:t>
      </w:r>
      <w:r>
        <w:rPr>
          <w:rFonts w:ascii="Calibri" w:eastAsia="Calibri" w:hAnsi="Calibri" w:cs="Calibri"/>
          <w:i/>
          <w:color w:val="000000"/>
        </w:rPr>
        <w:lastRenderedPageBreak/>
        <w:t xml:space="preserve">y como sujeto de deseo; </w:t>
      </w:r>
      <w:r>
        <w:rPr>
          <w:rFonts w:ascii="Calibri" w:eastAsia="Calibri" w:hAnsi="Calibri" w:cs="Calibri"/>
          <w:color w:val="000000"/>
        </w:rPr>
        <w:t>Escuela de Psicología, Universidad de Costa Rica, año 2007, p.  87-89.</w:t>
      </w:r>
    </w:p>
    <w:p w14:paraId="00000052" w14:textId="77777777" w:rsidR="00C82B49" w:rsidRDefault="00954538">
      <w:pPr>
        <w:widowControl w:val="0"/>
        <w:pBdr>
          <w:top w:val="nil"/>
          <w:left w:val="nil"/>
          <w:bottom w:val="nil"/>
          <w:right w:val="nil"/>
          <w:between w:val="nil"/>
        </w:pBdr>
        <w:spacing w:line="356" w:lineRule="auto"/>
        <w:ind w:left="1151" w:right="-2" w:hanging="5"/>
        <w:jc w:val="both"/>
        <w:rPr>
          <w:rFonts w:ascii="Century Gothic" w:eastAsia="Century Gothic" w:hAnsi="Century Gothic" w:cs="Century Gothic"/>
          <w:color w:val="000000"/>
        </w:rPr>
      </w:pPr>
      <w:r>
        <w:rPr>
          <w:rFonts w:ascii="Century Gothic" w:eastAsia="Century Gothic" w:hAnsi="Century Gothic" w:cs="Century Gothic"/>
          <w:color w:val="000000"/>
        </w:rPr>
        <w:t>y se encuentran en mayor riesgo de ser discriminados</w:t>
      </w:r>
      <w:r>
        <w:rPr>
          <w:rFonts w:ascii="Century Gothic" w:eastAsia="Century Gothic" w:hAnsi="Century Gothic" w:cs="Century Gothic"/>
          <w:color w:val="000000"/>
          <w:sz w:val="23"/>
          <w:szCs w:val="23"/>
          <w:vertAlign w:val="superscript"/>
        </w:rPr>
        <w:t>11</w:t>
      </w:r>
      <w:r>
        <w:rPr>
          <w:rFonts w:ascii="Century Gothic" w:eastAsia="Century Gothic" w:hAnsi="Century Gothic" w:cs="Century Gothic"/>
          <w:color w:val="000000"/>
        </w:rPr>
        <w:t>. Es decir, el sistema  interamericano no sólo recoge una noción formal de igualdad, limitada a  prohibir diferencias de trato irrazonables, caprichosas o arbitrarias, sino que  avanza hacia un concepto de igualdad material o estructural que parte del  reconocimiento de que ciertos sectores de la población requieren la adopción  de medidas de diversa naturaleza que busquen la equiparación en el acceso  a derechos y a la igualdad de oportunidades</w:t>
      </w:r>
      <w:r>
        <w:rPr>
          <w:rFonts w:ascii="Century Gothic" w:eastAsia="Century Gothic" w:hAnsi="Century Gothic" w:cs="Century Gothic"/>
          <w:color w:val="000000"/>
          <w:sz w:val="23"/>
          <w:szCs w:val="23"/>
          <w:vertAlign w:val="superscript"/>
        </w:rPr>
        <w:t>12</w:t>
      </w:r>
      <w:r>
        <w:rPr>
          <w:rFonts w:ascii="Century Gothic" w:eastAsia="Century Gothic" w:hAnsi="Century Gothic" w:cs="Century Gothic"/>
          <w:color w:val="000000"/>
        </w:rPr>
        <w:t xml:space="preserve">. </w:t>
      </w:r>
    </w:p>
    <w:p w14:paraId="00000053" w14:textId="77777777" w:rsidR="00C82B49" w:rsidRDefault="00954538">
      <w:pPr>
        <w:widowControl w:val="0"/>
        <w:pBdr>
          <w:top w:val="nil"/>
          <w:left w:val="nil"/>
          <w:bottom w:val="nil"/>
          <w:right w:val="nil"/>
          <w:between w:val="nil"/>
        </w:pBdr>
        <w:spacing w:before="31" w:line="357" w:lineRule="auto"/>
        <w:ind w:left="1151" w:right="-4" w:firstLine="1416"/>
        <w:jc w:val="both"/>
        <w:rPr>
          <w:rFonts w:ascii="Century Gothic" w:eastAsia="Century Gothic" w:hAnsi="Century Gothic" w:cs="Century Gothic"/>
          <w:color w:val="000000"/>
        </w:rPr>
      </w:pPr>
      <w:r>
        <w:rPr>
          <w:rFonts w:ascii="Century Gothic" w:eastAsia="Century Gothic" w:hAnsi="Century Gothic" w:cs="Century Gothic"/>
          <w:color w:val="000000"/>
        </w:rPr>
        <w:t>A su vez, ya la Corte Interamericana de Derechos Humanos, en  un fallo de fecha 27/11/1998</w:t>
      </w:r>
      <w:r>
        <w:rPr>
          <w:rFonts w:ascii="Century Gothic" w:eastAsia="Century Gothic" w:hAnsi="Century Gothic" w:cs="Century Gothic"/>
          <w:color w:val="000000"/>
          <w:sz w:val="23"/>
          <w:szCs w:val="23"/>
          <w:vertAlign w:val="superscript"/>
        </w:rPr>
        <w:t>13</w:t>
      </w:r>
      <w:r>
        <w:rPr>
          <w:rFonts w:ascii="Century Gothic" w:eastAsia="Century Gothic" w:hAnsi="Century Gothic" w:cs="Century Gothic"/>
          <w:color w:val="000000"/>
        </w:rPr>
        <w:t xml:space="preserve">, se ha expedido sobre la importancia del  “proyecto de vida”, al cual hace mención M. Allí la Corte asocia el concepto  de realización personal, que a su vez se sustenta en opciones que el sujeto  puede tener para conducir su vida y alcanzar el destino que se propone. Se  trata de opciones que el ser humano, en cuanto libre, escoge entre una </w:t>
      </w:r>
    </w:p>
    <w:p w14:paraId="00000054" w14:textId="77777777" w:rsidR="00C82B49" w:rsidRDefault="00954538">
      <w:pPr>
        <w:widowControl w:val="0"/>
        <w:pBdr>
          <w:top w:val="nil"/>
          <w:left w:val="nil"/>
          <w:bottom w:val="nil"/>
          <w:right w:val="nil"/>
          <w:between w:val="nil"/>
        </w:pBdr>
        <w:spacing w:before="31" w:line="356" w:lineRule="auto"/>
        <w:ind w:left="1147" w:right="-4" w:firstLine="10"/>
        <w:jc w:val="both"/>
        <w:rPr>
          <w:rFonts w:ascii="Century Gothic" w:eastAsia="Century Gothic" w:hAnsi="Century Gothic" w:cs="Century Gothic"/>
          <w:color w:val="000000"/>
        </w:rPr>
      </w:pPr>
      <w:r>
        <w:rPr>
          <w:rFonts w:ascii="Century Gothic" w:eastAsia="Century Gothic" w:hAnsi="Century Gothic" w:cs="Century Gothic"/>
          <w:color w:val="000000"/>
        </w:rPr>
        <w:t>multitud de posibilidades existenciales. La opción u opciones que la persona  elige son aquéllas que le han de permitir, como apunta el fallo, a "conducir su  vida y alcanzar el destino que se propone".</w:t>
      </w:r>
      <w:r>
        <w:rPr>
          <w:rFonts w:ascii="Century Gothic" w:eastAsia="Century Gothic" w:hAnsi="Century Gothic" w:cs="Century Gothic"/>
          <w:color w:val="000000"/>
          <w:sz w:val="23"/>
          <w:szCs w:val="23"/>
          <w:vertAlign w:val="superscript"/>
        </w:rPr>
        <w:t xml:space="preserve">14 </w:t>
      </w:r>
      <w:r>
        <w:rPr>
          <w:rFonts w:ascii="Century Gothic" w:eastAsia="Century Gothic" w:hAnsi="Century Gothic" w:cs="Century Gothic"/>
          <w:color w:val="000000"/>
        </w:rPr>
        <w:t xml:space="preserve">En otros términos, la Corte estima  que en el "proyecto de vida" está en juego nada menos que el destino del ser  humano; es decir, lo que libremente ha decidido ser y hacer de su vida. </w:t>
      </w:r>
    </w:p>
    <w:p w14:paraId="00000055" w14:textId="77777777" w:rsidR="00C82B49" w:rsidRDefault="00954538">
      <w:pPr>
        <w:widowControl w:val="0"/>
        <w:pBdr>
          <w:top w:val="nil"/>
          <w:left w:val="nil"/>
          <w:bottom w:val="nil"/>
          <w:right w:val="nil"/>
          <w:between w:val="nil"/>
        </w:pBdr>
        <w:spacing w:before="31" w:line="357" w:lineRule="auto"/>
        <w:ind w:left="1150" w:right="-3" w:firstLine="1431"/>
        <w:jc w:val="both"/>
        <w:rPr>
          <w:rFonts w:ascii="Century Gothic" w:eastAsia="Century Gothic" w:hAnsi="Century Gothic" w:cs="Century Gothic"/>
          <w:color w:val="000000"/>
        </w:rPr>
      </w:pPr>
      <w:r>
        <w:rPr>
          <w:rFonts w:ascii="Century Gothic" w:eastAsia="Century Gothic" w:hAnsi="Century Gothic" w:cs="Century Gothic"/>
          <w:color w:val="000000"/>
        </w:rPr>
        <w:t>En cuanto a las opciones o posibilidades existenciales, la Corte  precisa que ellas son "la garantía de la libertad". Por ello, no puede concebirse  que una persona sea verdaderamente libre "si carece de opciones para  encaminar su existencia y llevarla a su natural culminación"</w:t>
      </w:r>
      <w:r>
        <w:rPr>
          <w:rFonts w:ascii="Century Gothic" w:eastAsia="Century Gothic" w:hAnsi="Century Gothic" w:cs="Century Gothic"/>
          <w:color w:val="000000"/>
          <w:sz w:val="23"/>
          <w:szCs w:val="23"/>
          <w:vertAlign w:val="superscript"/>
        </w:rPr>
        <w:t>15</w:t>
      </w:r>
      <w:r>
        <w:rPr>
          <w:rFonts w:ascii="Century Gothic" w:eastAsia="Century Gothic" w:hAnsi="Century Gothic" w:cs="Century Gothic"/>
          <w:color w:val="000000"/>
        </w:rPr>
        <w:t xml:space="preserve">. La opción u  opciones que la persona elige para determinar aquello que decide ser en el  futuro constituyen el ingrediente de su "proyecto de vida". El "proyecto de vida"  </w:t>
      </w:r>
    </w:p>
    <w:p w14:paraId="00000056" w14:textId="77777777" w:rsidR="00C82B49" w:rsidRDefault="00954538">
      <w:pPr>
        <w:widowControl w:val="0"/>
        <w:pBdr>
          <w:top w:val="nil"/>
          <w:left w:val="nil"/>
          <w:bottom w:val="nil"/>
          <w:right w:val="nil"/>
          <w:between w:val="nil"/>
        </w:pBdr>
        <w:spacing w:before="1541" w:line="240" w:lineRule="auto"/>
        <w:ind w:left="1152" w:right="13" w:firstLine="1"/>
        <w:rPr>
          <w:rFonts w:ascii="Calibri" w:eastAsia="Calibri" w:hAnsi="Calibri" w:cs="Calibri"/>
          <w:color w:val="000000"/>
        </w:rPr>
      </w:pPr>
      <w:r>
        <w:rPr>
          <w:rFonts w:ascii="Calibri" w:eastAsia="Calibri" w:hAnsi="Calibri" w:cs="Calibri"/>
          <w:color w:val="000000"/>
          <w:sz w:val="23"/>
          <w:szCs w:val="23"/>
          <w:vertAlign w:val="superscript"/>
        </w:rPr>
        <w:t xml:space="preserve">11 </w:t>
      </w:r>
      <w:r>
        <w:rPr>
          <w:rFonts w:ascii="Calibri" w:eastAsia="Calibri" w:hAnsi="Calibri" w:cs="Calibri"/>
          <w:color w:val="000000"/>
        </w:rPr>
        <w:t xml:space="preserve">IDH, demanda ante la Corte Interamericana de Derechos Humanos, caso </w:t>
      </w:r>
      <w:proofErr w:type="spellStart"/>
      <w:r>
        <w:rPr>
          <w:rFonts w:ascii="Calibri" w:eastAsia="Calibri" w:hAnsi="Calibri" w:cs="Calibri"/>
          <w:color w:val="000000"/>
        </w:rPr>
        <w:t>Atala</w:t>
      </w:r>
      <w:proofErr w:type="spellEnd"/>
      <w:r>
        <w:rPr>
          <w:rFonts w:ascii="Calibri" w:eastAsia="Calibri" w:hAnsi="Calibri" w:cs="Calibri"/>
          <w:color w:val="000000"/>
        </w:rPr>
        <w:t xml:space="preserve"> </w:t>
      </w:r>
      <w:proofErr w:type="spellStart"/>
      <w:r>
        <w:rPr>
          <w:rFonts w:ascii="Calibri" w:eastAsia="Calibri" w:hAnsi="Calibri" w:cs="Calibri"/>
          <w:color w:val="000000"/>
        </w:rPr>
        <w:t>Riffo</w:t>
      </w:r>
      <w:proofErr w:type="spellEnd"/>
      <w:r>
        <w:rPr>
          <w:rFonts w:ascii="Calibri" w:eastAsia="Calibri" w:hAnsi="Calibri" w:cs="Calibri"/>
          <w:color w:val="000000"/>
        </w:rPr>
        <w:t xml:space="preserve"> e hijas vs  Chile, párrafo 80. </w:t>
      </w:r>
    </w:p>
    <w:p w14:paraId="00000057" w14:textId="77777777" w:rsidR="00C82B49" w:rsidRDefault="00954538">
      <w:pPr>
        <w:widowControl w:val="0"/>
        <w:pBdr>
          <w:top w:val="nil"/>
          <w:left w:val="nil"/>
          <w:bottom w:val="nil"/>
          <w:right w:val="nil"/>
          <w:between w:val="nil"/>
        </w:pBdr>
        <w:spacing w:before="7" w:line="241" w:lineRule="auto"/>
        <w:ind w:left="1149" w:right="14" w:firstLine="10"/>
        <w:rPr>
          <w:rFonts w:ascii="Calibri" w:eastAsia="Calibri" w:hAnsi="Calibri" w:cs="Calibri"/>
          <w:color w:val="000000"/>
        </w:rPr>
      </w:pPr>
      <w:r>
        <w:rPr>
          <w:rFonts w:ascii="Times New Roman" w:eastAsia="Times New Roman" w:hAnsi="Times New Roman" w:cs="Times New Roman"/>
          <w:color w:val="000000"/>
          <w:sz w:val="26"/>
          <w:szCs w:val="26"/>
          <w:vertAlign w:val="superscript"/>
        </w:rPr>
        <w:t xml:space="preserve">12 </w:t>
      </w:r>
      <w:r>
        <w:rPr>
          <w:rFonts w:ascii="Calibri" w:eastAsia="Calibri" w:hAnsi="Calibri" w:cs="Calibri"/>
          <w:color w:val="000000"/>
        </w:rPr>
        <w:t xml:space="preserve">CIDH, Hacia la garantía efectiva de los derechos de niñas, niños y adolescentes:  </w:t>
      </w:r>
      <w:proofErr w:type="spellStart"/>
      <w:r>
        <w:rPr>
          <w:rFonts w:ascii="Calibri" w:eastAsia="Calibri" w:hAnsi="Calibri" w:cs="Calibri"/>
          <w:color w:val="000000"/>
        </w:rPr>
        <w:t>SistemasNacionales</w:t>
      </w:r>
      <w:proofErr w:type="spellEnd"/>
      <w:r>
        <w:rPr>
          <w:rFonts w:ascii="Calibri" w:eastAsia="Calibri" w:hAnsi="Calibri" w:cs="Calibri"/>
          <w:color w:val="000000"/>
        </w:rPr>
        <w:t xml:space="preserve"> de Protección, informe noviembre 2017. </w:t>
      </w:r>
    </w:p>
    <w:p w14:paraId="00000058" w14:textId="77777777" w:rsidR="00C82B49" w:rsidRDefault="00954538">
      <w:pPr>
        <w:widowControl w:val="0"/>
        <w:pBdr>
          <w:top w:val="nil"/>
          <w:left w:val="nil"/>
          <w:bottom w:val="nil"/>
          <w:right w:val="nil"/>
          <w:between w:val="nil"/>
        </w:pBdr>
        <w:spacing w:before="3" w:line="240" w:lineRule="auto"/>
        <w:ind w:left="1154"/>
        <w:rPr>
          <w:rFonts w:ascii="Calibri" w:eastAsia="Calibri" w:hAnsi="Calibri" w:cs="Calibri"/>
          <w:color w:val="000000"/>
        </w:rPr>
      </w:pPr>
      <w:r>
        <w:rPr>
          <w:rFonts w:ascii="Calibri" w:eastAsia="Calibri" w:hAnsi="Calibri" w:cs="Calibri"/>
          <w:color w:val="000000"/>
          <w:sz w:val="23"/>
          <w:szCs w:val="23"/>
          <w:vertAlign w:val="superscript"/>
        </w:rPr>
        <w:lastRenderedPageBreak/>
        <w:t xml:space="preserve">13 </w:t>
      </w:r>
      <w:r>
        <w:rPr>
          <w:rFonts w:ascii="Calibri" w:eastAsia="Calibri" w:hAnsi="Calibri" w:cs="Calibri"/>
          <w:color w:val="000000"/>
        </w:rPr>
        <w:t xml:space="preserve">“Loayza Tamayo Vs. Perú” </w:t>
      </w:r>
    </w:p>
    <w:p w14:paraId="00000059" w14:textId="77777777" w:rsidR="00C82B49" w:rsidRDefault="00954538">
      <w:pPr>
        <w:widowControl w:val="0"/>
        <w:pBdr>
          <w:top w:val="nil"/>
          <w:left w:val="nil"/>
          <w:bottom w:val="nil"/>
          <w:right w:val="nil"/>
          <w:between w:val="nil"/>
        </w:pBdr>
        <w:spacing w:before="13" w:line="240" w:lineRule="auto"/>
        <w:ind w:left="1154"/>
        <w:rPr>
          <w:rFonts w:ascii="Calibri" w:eastAsia="Calibri" w:hAnsi="Calibri" w:cs="Calibri"/>
          <w:color w:val="000000"/>
        </w:rPr>
      </w:pPr>
      <w:r>
        <w:rPr>
          <w:rFonts w:ascii="Calibri" w:eastAsia="Calibri" w:hAnsi="Calibri" w:cs="Calibri"/>
          <w:color w:val="000000"/>
          <w:sz w:val="23"/>
          <w:szCs w:val="23"/>
          <w:vertAlign w:val="superscript"/>
        </w:rPr>
        <w:t xml:space="preserve">14 </w:t>
      </w:r>
      <w:r>
        <w:rPr>
          <w:rFonts w:ascii="Calibri" w:eastAsia="Calibri" w:hAnsi="Calibri" w:cs="Calibri"/>
          <w:color w:val="000000"/>
        </w:rPr>
        <w:t xml:space="preserve">Párrafo 148 de la sentencia. </w:t>
      </w:r>
    </w:p>
    <w:p w14:paraId="0000005A" w14:textId="77777777" w:rsidR="00C82B49" w:rsidRDefault="00954538">
      <w:pPr>
        <w:widowControl w:val="0"/>
        <w:pBdr>
          <w:top w:val="nil"/>
          <w:left w:val="nil"/>
          <w:bottom w:val="nil"/>
          <w:right w:val="nil"/>
          <w:between w:val="nil"/>
        </w:pBdr>
        <w:spacing w:before="13" w:line="240" w:lineRule="auto"/>
        <w:ind w:left="1155"/>
        <w:rPr>
          <w:rFonts w:ascii="Calibri" w:eastAsia="Calibri" w:hAnsi="Calibri" w:cs="Calibri"/>
          <w:color w:val="000000"/>
        </w:rPr>
      </w:pPr>
      <w:r>
        <w:rPr>
          <w:rFonts w:ascii="Calibri" w:eastAsia="Calibri" w:hAnsi="Calibri" w:cs="Calibri"/>
          <w:color w:val="000000"/>
          <w:sz w:val="26"/>
          <w:szCs w:val="26"/>
          <w:vertAlign w:val="superscript"/>
        </w:rPr>
        <w:t xml:space="preserve">15 </w:t>
      </w:r>
      <w:r>
        <w:rPr>
          <w:rFonts w:ascii="Calibri" w:eastAsia="Calibri" w:hAnsi="Calibri" w:cs="Calibri"/>
          <w:color w:val="000000"/>
        </w:rPr>
        <w:t>Párrafo 148 de la sentencia.</w:t>
      </w:r>
    </w:p>
    <w:p w14:paraId="0000005B" w14:textId="77777777" w:rsidR="00C82B49" w:rsidRDefault="00954538">
      <w:pPr>
        <w:widowControl w:val="0"/>
        <w:pBdr>
          <w:top w:val="nil"/>
          <w:left w:val="nil"/>
          <w:bottom w:val="nil"/>
          <w:right w:val="nil"/>
          <w:between w:val="nil"/>
        </w:pBdr>
        <w:spacing w:line="354" w:lineRule="auto"/>
        <w:ind w:left="12" w:right="1132" w:firstLine="5"/>
        <w:rPr>
          <w:rFonts w:ascii="Century Gothic" w:eastAsia="Century Gothic" w:hAnsi="Century Gothic" w:cs="Century Gothic"/>
          <w:color w:val="000000"/>
        </w:rPr>
      </w:pPr>
      <w:r>
        <w:rPr>
          <w:rFonts w:ascii="Century Gothic" w:eastAsia="Century Gothic" w:hAnsi="Century Gothic" w:cs="Century Gothic"/>
          <w:color w:val="000000"/>
        </w:rPr>
        <w:t>representa la máxima aspiración del ser humano, lo que él decide ser en la  vida</w:t>
      </w:r>
      <w:r>
        <w:rPr>
          <w:rFonts w:ascii="Century Gothic" w:eastAsia="Century Gothic" w:hAnsi="Century Gothic" w:cs="Century Gothic"/>
          <w:color w:val="000000"/>
          <w:sz w:val="23"/>
          <w:szCs w:val="23"/>
          <w:vertAlign w:val="superscript"/>
        </w:rPr>
        <w:t>16</w:t>
      </w:r>
      <w:r>
        <w:rPr>
          <w:rFonts w:ascii="Century Gothic" w:eastAsia="Century Gothic" w:hAnsi="Century Gothic" w:cs="Century Gothic"/>
          <w:color w:val="000000"/>
        </w:rPr>
        <w:t xml:space="preserve">. </w:t>
      </w:r>
    </w:p>
    <w:p w14:paraId="0000005C" w14:textId="77777777" w:rsidR="00C82B49" w:rsidRDefault="00954538">
      <w:pPr>
        <w:widowControl w:val="0"/>
        <w:pBdr>
          <w:top w:val="nil"/>
          <w:left w:val="nil"/>
          <w:bottom w:val="nil"/>
          <w:right w:val="nil"/>
          <w:between w:val="nil"/>
        </w:pBdr>
        <w:spacing w:before="33" w:line="357" w:lineRule="auto"/>
        <w:ind w:left="12" w:right="1132" w:firstLine="1434"/>
        <w:jc w:val="both"/>
        <w:rPr>
          <w:rFonts w:ascii="Century Gothic" w:eastAsia="Century Gothic" w:hAnsi="Century Gothic" w:cs="Century Gothic"/>
          <w:color w:val="000000"/>
        </w:rPr>
      </w:pPr>
      <w:r>
        <w:rPr>
          <w:rFonts w:ascii="Century Gothic" w:eastAsia="Century Gothic" w:hAnsi="Century Gothic" w:cs="Century Gothic"/>
          <w:color w:val="000000"/>
        </w:rPr>
        <w:t>Esta interpretación se halla directamente ligada con la  protección al derecho a la libertad y seguridad personales, reconocido por el  art. 4 inc. c) de la Convención Interamericana para Prevenir, Sancionar y  Erradicar la Violencia contra la Mujer</w:t>
      </w:r>
      <w:r>
        <w:rPr>
          <w:rFonts w:ascii="Century Gothic" w:eastAsia="Century Gothic" w:hAnsi="Century Gothic" w:cs="Century Gothic"/>
          <w:color w:val="000000"/>
          <w:sz w:val="23"/>
          <w:szCs w:val="23"/>
          <w:vertAlign w:val="superscript"/>
        </w:rPr>
        <w:t>17</w:t>
      </w:r>
      <w:r>
        <w:rPr>
          <w:rFonts w:ascii="Century Gothic" w:eastAsia="Century Gothic" w:hAnsi="Century Gothic" w:cs="Century Gothic"/>
          <w:color w:val="000000"/>
        </w:rPr>
        <w:t>. Dicha previsión no solo comprende que  ninguna mujer puede verse privada de la libertad salvo por las causas, casos o  circunstancias expresamente tipificadas en la ley (aspecto material), y con  estricta sujeción a los procedimientos objetivamente definidos en la misma  (aspecto formal)</w:t>
      </w:r>
      <w:r>
        <w:rPr>
          <w:rFonts w:ascii="Century Gothic" w:eastAsia="Century Gothic" w:hAnsi="Century Gothic" w:cs="Century Gothic"/>
          <w:color w:val="000000"/>
          <w:sz w:val="23"/>
          <w:szCs w:val="23"/>
          <w:vertAlign w:val="superscript"/>
        </w:rPr>
        <w:t>18</w:t>
      </w:r>
      <w:r>
        <w:rPr>
          <w:rFonts w:ascii="Century Gothic" w:eastAsia="Century Gothic" w:hAnsi="Century Gothic" w:cs="Century Gothic"/>
          <w:color w:val="000000"/>
        </w:rPr>
        <w:t>; sino además, el derecho de organizar, con arreglo a la ley,  su vida individual y social conforme a sus propias opciones y convicciones. La  libertad, definida así, es un derecho humano básico, propio de los atributos de  la persona. Encierra la posibilidad de todo ser humano de auto-determinarse y  escoger libremente las opciones y circunstancias que le dan sentido a su  existencia conforme a sus propias opciones y convicciones</w:t>
      </w:r>
      <w:r>
        <w:rPr>
          <w:rFonts w:ascii="Century Gothic" w:eastAsia="Century Gothic" w:hAnsi="Century Gothic" w:cs="Century Gothic"/>
          <w:color w:val="000000"/>
          <w:sz w:val="23"/>
          <w:szCs w:val="23"/>
          <w:vertAlign w:val="superscript"/>
        </w:rPr>
        <w:t>19</w:t>
      </w:r>
      <w:r>
        <w:rPr>
          <w:rFonts w:ascii="Century Gothic" w:eastAsia="Century Gothic" w:hAnsi="Century Gothic" w:cs="Century Gothic"/>
          <w:color w:val="000000"/>
        </w:rPr>
        <w:t xml:space="preserve">, </w:t>
      </w:r>
      <w:r>
        <w:rPr>
          <w:rFonts w:ascii="Century Gothic" w:eastAsia="Century Gothic" w:hAnsi="Century Gothic" w:cs="Century Gothic"/>
          <w:color w:val="000000"/>
          <w:sz w:val="23"/>
          <w:szCs w:val="23"/>
          <w:vertAlign w:val="superscript"/>
        </w:rPr>
        <w:t>20</w:t>
      </w:r>
      <w:r>
        <w:rPr>
          <w:rFonts w:ascii="Century Gothic" w:eastAsia="Century Gothic" w:hAnsi="Century Gothic" w:cs="Century Gothic"/>
          <w:color w:val="000000"/>
        </w:rPr>
        <w:t xml:space="preserve">. </w:t>
      </w:r>
    </w:p>
    <w:p w14:paraId="0000005D" w14:textId="77777777" w:rsidR="00C82B49" w:rsidRDefault="00954538">
      <w:pPr>
        <w:widowControl w:val="0"/>
        <w:pBdr>
          <w:top w:val="nil"/>
          <w:left w:val="nil"/>
          <w:bottom w:val="nil"/>
          <w:right w:val="nil"/>
          <w:between w:val="nil"/>
        </w:pBdr>
        <w:spacing w:before="30" w:line="356" w:lineRule="auto"/>
        <w:ind w:left="17" w:right="1130"/>
        <w:jc w:val="center"/>
        <w:rPr>
          <w:rFonts w:ascii="Century Gothic" w:eastAsia="Century Gothic" w:hAnsi="Century Gothic" w:cs="Century Gothic"/>
          <w:color w:val="000000"/>
        </w:rPr>
      </w:pPr>
      <w:r>
        <w:rPr>
          <w:rFonts w:ascii="Century Gothic" w:eastAsia="Century Gothic" w:hAnsi="Century Gothic" w:cs="Century Gothic"/>
          <w:color w:val="000000"/>
        </w:rPr>
        <w:t>Es entonces que debemos valorar los deseos de M. desde esta perspectiva, sin que ello implique ir en detrimento de los derechos de L.R.,  encontrando así la solución más pacífica para el caso concreto</w:t>
      </w:r>
      <w:r>
        <w:rPr>
          <w:rFonts w:ascii="Century Gothic" w:eastAsia="Century Gothic" w:hAnsi="Century Gothic" w:cs="Century Gothic"/>
          <w:color w:val="000000"/>
          <w:sz w:val="23"/>
          <w:szCs w:val="23"/>
          <w:vertAlign w:val="superscript"/>
        </w:rPr>
        <w:t>21</w:t>
      </w:r>
      <w:r>
        <w:rPr>
          <w:rFonts w:ascii="Century Gothic" w:eastAsia="Century Gothic" w:hAnsi="Century Gothic" w:cs="Century Gothic"/>
          <w:color w:val="000000"/>
        </w:rPr>
        <w:t xml:space="preserve">. </w:t>
      </w:r>
    </w:p>
    <w:p w14:paraId="0000005E" w14:textId="77777777" w:rsidR="00C82B49" w:rsidRDefault="00954538">
      <w:pPr>
        <w:widowControl w:val="0"/>
        <w:pBdr>
          <w:top w:val="nil"/>
          <w:left w:val="nil"/>
          <w:bottom w:val="nil"/>
          <w:right w:val="nil"/>
          <w:between w:val="nil"/>
        </w:pBdr>
        <w:spacing w:before="431" w:line="240" w:lineRule="auto"/>
        <w:ind w:left="26"/>
        <w:rPr>
          <w:rFonts w:ascii="Century Gothic" w:eastAsia="Century Gothic" w:hAnsi="Century Gothic" w:cs="Century Gothic"/>
          <w:b/>
          <w:color w:val="000000"/>
        </w:rPr>
      </w:pPr>
      <w:r>
        <w:rPr>
          <w:rFonts w:ascii="Century Gothic" w:eastAsia="Century Gothic" w:hAnsi="Century Gothic" w:cs="Century Gothic"/>
          <w:b/>
          <w:color w:val="000000"/>
        </w:rPr>
        <w:t xml:space="preserve">Resoluciones en situaciones similares </w:t>
      </w:r>
    </w:p>
    <w:p w14:paraId="0000005F" w14:textId="77777777" w:rsidR="00C82B49" w:rsidRDefault="00954538">
      <w:pPr>
        <w:widowControl w:val="0"/>
        <w:pBdr>
          <w:top w:val="nil"/>
          <w:left w:val="nil"/>
          <w:bottom w:val="nil"/>
          <w:right w:val="nil"/>
          <w:between w:val="nil"/>
        </w:pBdr>
        <w:spacing w:before="528" w:line="359" w:lineRule="auto"/>
        <w:ind w:left="23" w:right="1140" w:firstLine="1410"/>
        <w:rPr>
          <w:rFonts w:ascii="Century Gothic" w:eastAsia="Century Gothic" w:hAnsi="Century Gothic" w:cs="Century Gothic"/>
          <w:color w:val="000000"/>
        </w:rPr>
      </w:pPr>
      <w:r>
        <w:rPr>
          <w:rFonts w:ascii="Century Gothic" w:eastAsia="Century Gothic" w:hAnsi="Century Gothic" w:cs="Century Gothic"/>
          <w:color w:val="000000"/>
        </w:rPr>
        <w:t xml:space="preserve">Veamos ahora cómo se ha resuelto en situaciones análogas a la  presente:  </w:t>
      </w:r>
    </w:p>
    <w:p w14:paraId="00000060" w14:textId="77777777" w:rsidR="00C82B49" w:rsidRDefault="00954538">
      <w:pPr>
        <w:widowControl w:val="0"/>
        <w:pBdr>
          <w:top w:val="nil"/>
          <w:left w:val="nil"/>
          <w:bottom w:val="nil"/>
          <w:right w:val="nil"/>
          <w:between w:val="nil"/>
        </w:pBdr>
        <w:spacing w:before="28" w:line="354" w:lineRule="auto"/>
        <w:ind w:left="25" w:right="1131" w:firstLine="1421"/>
        <w:rPr>
          <w:rFonts w:ascii="Century Gothic" w:eastAsia="Century Gothic" w:hAnsi="Century Gothic" w:cs="Century Gothic"/>
          <w:color w:val="000000"/>
        </w:rPr>
      </w:pPr>
      <w:r>
        <w:rPr>
          <w:rFonts w:ascii="Century Gothic" w:eastAsia="Century Gothic" w:hAnsi="Century Gothic" w:cs="Century Gothic"/>
          <w:color w:val="000000"/>
        </w:rPr>
        <w:t>Recientemente el Juzgado Civil, Comercial, Minería, Sucesiones y  Familia número 9 de San Antonio Oeste</w:t>
      </w:r>
      <w:r>
        <w:rPr>
          <w:rFonts w:ascii="Century Gothic" w:eastAsia="Century Gothic" w:hAnsi="Century Gothic" w:cs="Century Gothic"/>
          <w:color w:val="000000"/>
          <w:sz w:val="23"/>
          <w:szCs w:val="23"/>
          <w:vertAlign w:val="superscript"/>
        </w:rPr>
        <w:t xml:space="preserve">22 </w:t>
      </w:r>
      <w:r>
        <w:rPr>
          <w:rFonts w:ascii="Century Gothic" w:eastAsia="Century Gothic" w:hAnsi="Century Gothic" w:cs="Century Gothic"/>
          <w:color w:val="000000"/>
        </w:rPr>
        <w:t xml:space="preserve">ha tramitado una causa similar, en la  </w:t>
      </w:r>
    </w:p>
    <w:p w14:paraId="00000061" w14:textId="77777777" w:rsidR="00C82B49" w:rsidRDefault="00954538">
      <w:pPr>
        <w:widowControl w:val="0"/>
        <w:pBdr>
          <w:top w:val="nil"/>
          <w:left w:val="nil"/>
          <w:bottom w:val="nil"/>
          <w:right w:val="nil"/>
          <w:between w:val="nil"/>
        </w:pBdr>
        <w:spacing w:before="328" w:line="241" w:lineRule="auto"/>
        <w:ind w:left="18" w:right="1428"/>
        <w:rPr>
          <w:rFonts w:ascii="Calibri" w:eastAsia="Calibri" w:hAnsi="Calibri" w:cs="Calibri"/>
          <w:color w:val="000000"/>
        </w:rPr>
      </w:pPr>
      <w:r>
        <w:rPr>
          <w:rFonts w:ascii="Calibri" w:eastAsia="Calibri" w:hAnsi="Calibri" w:cs="Calibri"/>
          <w:color w:val="000000"/>
          <w:sz w:val="23"/>
          <w:szCs w:val="23"/>
          <w:vertAlign w:val="superscript"/>
        </w:rPr>
        <w:t xml:space="preserve">16 </w:t>
      </w:r>
      <w:r>
        <w:rPr>
          <w:rFonts w:ascii="Calibri" w:eastAsia="Calibri" w:hAnsi="Calibri" w:cs="Calibri"/>
          <w:color w:val="000000"/>
        </w:rPr>
        <w:t xml:space="preserve">Carlos Fernández </w:t>
      </w:r>
      <w:proofErr w:type="spellStart"/>
      <w:r>
        <w:rPr>
          <w:rFonts w:ascii="Calibri" w:eastAsia="Calibri" w:hAnsi="Calibri" w:cs="Calibri"/>
          <w:color w:val="000000"/>
        </w:rPr>
        <w:t>Sessarego</w:t>
      </w:r>
      <w:proofErr w:type="spellEnd"/>
      <w:r>
        <w:rPr>
          <w:rFonts w:ascii="Calibri" w:eastAsia="Calibri" w:hAnsi="Calibri" w:cs="Calibri"/>
          <w:color w:val="000000"/>
        </w:rPr>
        <w:t xml:space="preserve">; </w:t>
      </w:r>
      <w:r>
        <w:rPr>
          <w:rFonts w:ascii="Calibri" w:eastAsia="Calibri" w:hAnsi="Calibri" w:cs="Calibri"/>
          <w:i/>
          <w:color w:val="000000"/>
        </w:rPr>
        <w:t>El Daño al “Proyecto de Vida” en una reciente sentencia de la  Corte Interamericana de Derechos Humanos</w:t>
      </w:r>
      <w:r>
        <w:rPr>
          <w:rFonts w:ascii="Calibri" w:eastAsia="Calibri" w:hAnsi="Calibri" w:cs="Calibri"/>
          <w:color w:val="000000"/>
        </w:rPr>
        <w:t xml:space="preserve">; p. 455. </w:t>
      </w:r>
    </w:p>
    <w:p w14:paraId="00000062" w14:textId="77777777" w:rsidR="00C82B49" w:rsidRDefault="00954538">
      <w:pPr>
        <w:widowControl w:val="0"/>
        <w:pBdr>
          <w:top w:val="nil"/>
          <w:left w:val="nil"/>
          <w:bottom w:val="nil"/>
          <w:right w:val="nil"/>
          <w:between w:val="nil"/>
        </w:pBdr>
        <w:spacing w:before="12" w:line="240" w:lineRule="auto"/>
        <w:ind w:left="20"/>
        <w:rPr>
          <w:rFonts w:ascii="Calibri" w:eastAsia="Calibri" w:hAnsi="Calibri" w:cs="Calibri"/>
          <w:color w:val="000000"/>
        </w:rPr>
      </w:pPr>
      <w:r>
        <w:rPr>
          <w:rFonts w:ascii="Calibri" w:eastAsia="Calibri" w:hAnsi="Calibri" w:cs="Calibri"/>
          <w:color w:val="000000"/>
          <w:sz w:val="26"/>
          <w:szCs w:val="26"/>
          <w:vertAlign w:val="superscript"/>
        </w:rPr>
        <w:t xml:space="preserve">17 </w:t>
      </w:r>
      <w:r>
        <w:rPr>
          <w:rFonts w:ascii="Calibri" w:eastAsia="Calibri" w:hAnsi="Calibri" w:cs="Calibri"/>
          <w:color w:val="000000"/>
        </w:rPr>
        <w:t xml:space="preserve">Convención de Belem Do Pará. </w:t>
      </w:r>
    </w:p>
    <w:p w14:paraId="00000063" w14:textId="77777777" w:rsidR="00C82B49" w:rsidRDefault="00954538">
      <w:pPr>
        <w:widowControl w:val="0"/>
        <w:pBdr>
          <w:top w:val="nil"/>
          <w:left w:val="nil"/>
          <w:bottom w:val="nil"/>
          <w:right w:val="nil"/>
          <w:between w:val="nil"/>
        </w:pBdr>
        <w:spacing w:before="14" w:line="240" w:lineRule="auto"/>
        <w:ind w:left="18"/>
        <w:rPr>
          <w:rFonts w:ascii="Calibri" w:eastAsia="Calibri" w:hAnsi="Calibri" w:cs="Calibri"/>
          <w:color w:val="000000"/>
        </w:rPr>
      </w:pPr>
      <w:r>
        <w:rPr>
          <w:rFonts w:ascii="Calibri" w:eastAsia="Calibri" w:hAnsi="Calibri" w:cs="Calibri"/>
          <w:color w:val="000000"/>
          <w:sz w:val="23"/>
          <w:szCs w:val="23"/>
          <w:vertAlign w:val="superscript"/>
        </w:rPr>
        <w:t xml:space="preserve">18 </w:t>
      </w:r>
      <w:r>
        <w:rPr>
          <w:rFonts w:ascii="Calibri" w:eastAsia="Calibri" w:hAnsi="Calibri" w:cs="Calibri"/>
          <w:color w:val="000000"/>
        </w:rPr>
        <w:t xml:space="preserve">Corte IDH, 1999, (Niños de la Calle), </w:t>
      </w:r>
      <w:proofErr w:type="spellStart"/>
      <w:r>
        <w:rPr>
          <w:rFonts w:ascii="Calibri" w:eastAsia="Calibri" w:hAnsi="Calibri" w:cs="Calibri"/>
          <w:color w:val="000000"/>
        </w:rPr>
        <w:t>op</w:t>
      </w:r>
      <w:proofErr w:type="spellEnd"/>
      <w:r>
        <w:rPr>
          <w:rFonts w:ascii="Calibri" w:eastAsia="Calibri" w:hAnsi="Calibri" w:cs="Calibri"/>
          <w:color w:val="000000"/>
        </w:rPr>
        <w:t xml:space="preserve">. cit. Párrafo 142. </w:t>
      </w:r>
    </w:p>
    <w:p w14:paraId="00000064" w14:textId="77777777" w:rsidR="00C82B49" w:rsidRDefault="00954538">
      <w:pPr>
        <w:widowControl w:val="0"/>
        <w:pBdr>
          <w:top w:val="nil"/>
          <w:left w:val="nil"/>
          <w:bottom w:val="nil"/>
          <w:right w:val="nil"/>
          <w:between w:val="nil"/>
        </w:pBdr>
        <w:spacing w:before="8" w:line="240" w:lineRule="auto"/>
        <w:ind w:left="18"/>
        <w:rPr>
          <w:rFonts w:ascii="Calibri" w:eastAsia="Calibri" w:hAnsi="Calibri" w:cs="Calibri"/>
          <w:color w:val="000000"/>
        </w:rPr>
      </w:pPr>
      <w:r>
        <w:rPr>
          <w:rFonts w:ascii="Calibri" w:eastAsia="Calibri" w:hAnsi="Calibri" w:cs="Calibri"/>
          <w:color w:val="000000"/>
          <w:sz w:val="23"/>
          <w:szCs w:val="23"/>
          <w:vertAlign w:val="superscript"/>
        </w:rPr>
        <w:lastRenderedPageBreak/>
        <w:t xml:space="preserve">19 </w:t>
      </w:r>
      <w:r>
        <w:rPr>
          <w:rFonts w:ascii="Calibri" w:eastAsia="Calibri" w:hAnsi="Calibri" w:cs="Calibri"/>
          <w:color w:val="000000"/>
        </w:rPr>
        <w:t xml:space="preserve">Corte IDH, 2012 (Caso </w:t>
      </w:r>
      <w:proofErr w:type="spellStart"/>
      <w:r>
        <w:rPr>
          <w:rFonts w:ascii="Calibri" w:eastAsia="Calibri" w:hAnsi="Calibri" w:cs="Calibri"/>
          <w:color w:val="000000"/>
        </w:rPr>
        <w:t>Artavia</w:t>
      </w:r>
      <w:proofErr w:type="spellEnd"/>
      <w:r>
        <w:rPr>
          <w:rFonts w:ascii="Calibri" w:eastAsia="Calibri" w:hAnsi="Calibri" w:cs="Calibri"/>
          <w:color w:val="000000"/>
        </w:rPr>
        <w:t xml:space="preserve"> Murillo y Otros), </w:t>
      </w:r>
      <w:proofErr w:type="spellStart"/>
      <w:r>
        <w:rPr>
          <w:rFonts w:ascii="Calibri" w:eastAsia="Calibri" w:hAnsi="Calibri" w:cs="Calibri"/>
          <w:color w:val="000000"/>
        </w:rPr>
        <w:t>op</w:t>
      </w:r>
      <w:proofErr w:type="spellEnd"/>
      <w:r>
        <w:rPr>
          <w:rFonts w:ascii="Calibri" w:eastAsia="Calibri" w:hAnsi="Calibri" w:cs="Calibri"/>
          <w:color w:val="000000"/>
        </w:rPr>
        <w:t xml:space="preserve">. cit. párrafo 135. </w:t>
      </w:r>
    </w:p>
    <w:p w14:paraId="00000065" w14:textId="77777777" w:rsidR="00C82B49" w:rsidRDefault="00954538">
      <w:pPr>
        <w:widowControl w:val="0"/>
        <w:pBdr>
          <w:top w:val="nil"/>
          <w:left w:val="nil"/>
          <w:bottom w:val="nil"/>
          <w:right w:val="nil"/>
          <w:between w:val="nil"/>
        </w:pBdr>
        <w:spacing w:before="13" w:line="245" w:lineRule="auto"/>
        <w:ind w:left="23" w:right="1145" w:hanging="7"/>
        <w:rPr>
          <w:rFonts w:ascii="Calibri" w:eastAsia="Calibri" w:hAnsi="Calibri" w:cs="Calibri"/>
          <w:color w:val="000000"/>
        </w:rPr>
      </w:pPr>
      <w:r>
        <w:rPr>
          <w:rFonts w:ascii="Calibri" w:eastAsia="Calibri" w:hAnsi="Calibri" w:cs="Calibri"/>
          <w:color w:val="000000"/>
          <w:sz w:val="26"/>
          <w:szCs w:val="26"/>
          <w:vertAlign w:val="superscript"/>
        </w:rPr>
        <w:t xml:space="preserve">20 </w:t>
      </w:r>
      <w:r>
        <w:rPr>
          <w:rFonts w:ascii="Calibri" w:eastAsia="Calibri" w:hAnsi="Calibri" w:cs="Calibri"/>
          <w:color w:val="000000"/>
        </w:rPr>
        <w:t xml:space="preserve">Guía para la aplicación de la Convención de Belem Do Pará, emitida por la Organización de  los Estados Americanos, 2014. </w:t>
      </w:r>
    </w:p>
    <w:p w14:paraId="00000066" w14:textId="77777777" w:rsidR="00C82B49" w:rsidRDefault="00954538">
      <w:pPr>
        <w:widowControl w:val="0"/>
        <w:pBdr>
          <w:top w:val="nil"/>
          <w:left w:val="nil"/>
          <w:bottom w:val="nil"/>
          <w:right w:val="nil"/>
          <w:between w:val="nil"/>
        </w:pBdr>
        <w:spacing w:line="240" w:lineRule="auto"/>
        <w:ind w:left="14"/>
        <w:rPr>
          <w:rFonts w:ascii="Calibri" w:eastAsia="Calibri" w:hAnsi="Calibri" w:cs="Calibri"/>
          <w:color w:val="000000"/>
        </w:rPr>
      </w:pPr>
      <w:r>
        <w:rPr>
          <w:rFonts w:ascii="Calibri" w:eastAsia="Calibri" w:hAnsi="Calibri" w:cs="Calibri"/>
          <w:color w:val="000000"/>
          <w:sz w:val="23"/>
          <w:szCs w:val="23"/>
          <w:vertAlign w:val="superscript"/>
        </w:rPr>
        <w:t xml:space="preserve">21 </w:t>
      </w:r>
      <w:r>
        <w:rPr>
          <w:rFonts w:ascii="Calibri" w:eastAsia="Calibri" w:hAnsi="Calibri" w:cs="Calibri"/>
          <w:color w:val="000000"/>
        </w:rPr>
        <w:t xml:space="preserve">Arts. 1 y 2 del C.C.C.N. </w:t>
      </w:r>
    </w:p>
    <w:p w14:paraId="00000067" w14:textId="77777777" w:rsidR="00C82B49" w:rsidRDefault="00954538">
      <w:pPr>
        <w:widowControl w:val="0"/>
        <w:pBdr>
          <w:top w:val="nil"/>
          <w:left w:val="nil"/>
          <w:bottom w:val="nil"/>
          <w:right w:val="nil"/>
          <w:between w:val="nil"/>
        </w:pBdr>
        <w:spacing w:before="13" w:line="245" w:lineRule="auto"/>
        <w:ind w:left="25" w:right="1145" w:hanging="10"/>
        <w:rPr>
          <w:rFonts w:ascii="Calibri" w:eastAsia="Calibri" w:hAnsi="Calibri" w:cs="Calibri"/>
          <w:color w:val="000000"/>
        </w:rPr>
      </w:pPr>
      <w:r>
        <w:rPr>
          <w:rFonts w:ascii="Calibri" w:eastAsia="Calibri" w:hAnsi="Calibri" w:cs="Calibri"/>
          <w:color w:val="000000"/>
          <w:sz w:val="23"/>
          <w:szCs w:val="23"/>
          <w:vertAlign w:val="superscript"/>
        </w:rPr>
        <w:t>22</w:t>
      </w:r>
      <w:r>
        <w:rPr>
          <w:rFonts w:ascii="Calibri" w:eastAsia="Calibri" w:hAnsi="Calibri" w:cs="Calibri"/>
          <w:color w:val="000000"/>
        </w:rPr>
        <w:t xml:space="preserve">“Secretaría de Niñez, Adolescencia y Familia – SAO (E.A.) S/ Medida de Protección de  Derechos (f)” </w:t>
      </w:r>
      <w:proofErr w:type="spellStart"/>
      <w:r>
        <w:rPr>
          <w:rFonts w:ascii="Calibri" w:eastAsia="Calibri" w:hAnsi="Calibri" w:cs="Calibri"/>
          <w:color w:val="000000"/>
        </w:rPr>
        <w:t>Expte</w:t>
      </w:r>
      <w:proofErr w:type="spellEnd"/>
      <w:r>
        <w:rPr>
          <w:rFonts w:ascii="Calibri" w:eastAsia="Calibri" w:hAnsi="Calibri" w:cs="Calibri"/>
          <w:color w:val="000000"/>
        </w:rPr>
        <w:t>. 8719-2020-CAV; 30/3/2020.</w:t>
      </w:r>
    </w:p>
    <w:p w14:paraId="00000068" w14:textId="77777777" w:rsidR="00C82B49" w:rsidRDefault="00954538">
      <w:pPr>
        <w:widowControl w:val="0"/>
        <w:pBdr>
          <w:top w:val="nil"/>
          <w:left w:val="nil"/>
          <w:bottom w:val="nil"/>
          <w:right w:val="nil"/>
          <w:between w:val="nil"/>
        </w:pBdr>
        <w:spacing w:line="357" w:lineRule="auto"/>
        <w:ind w:left="1146" w:firstLine="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cual se ha intimado a la Secretaría de Estado de Niñez, Adolescencia y Familia  -SENAF SAO- a que acredite el acto administrativo de la medida excepcional,  y a dar cumplimiento con lo dispuesto en el art. 607 inc. a), indagar sobre la  familia de origen y/o ampliada materna y paterna de la niña. Dicha sentencia  ha sido recurrida (cuestionada) por el SENAF, por lo cual la Cámara de  Apelaciones se ha expedido, revocando la sentencia de grado. </w:t>
      </w:r>
    </w:p>
    <w:p w14:paraId="00000069" w14:textId="77777777" w:rsidR="00C82B49" w:rsidRDefault="00954538">
      <w:pPr>
        <w:widowControl w:val="0"/>
        <w:pBdr>
          <w:top w:val="nil"/>
          <w:left w:val="nil"/>
          <w:bottom w:val="nil"/>
          <w:right w:val="nil"/>
          <w:between w:val="nil"/>
        </w:pBdr>
        <w:spacing w:before="25" w:line="357" w:lineRule="auto"/>
        <w:ind w:left="1135" w:right="-4" w:firstLine="143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Allí ha argumentado que la medida que había tomado el  organismo </w:t>
      </w:r>
      <w:proofErr w:type="spellStart"/>
      <w:r>
        <w:rPr>
          <w:rFonts w:ascii="Century Gothic" w:eastAsia="Century Gothic" w:hAnsi="Century Gothic" w:cs="Century Gothic"/>
          <w:color w:val="000000"/>
        </w:rPr>
        <w:t>proteccional</w:t>
      </w:r>
      <w:proofErr w:type="spellEnd"/>
      <w:r>
        <w:rPr>
          <w:rFonts w:ascii="Century Gothic" w:eastAsia="Century Gothic" w:hAnsi="Century Gothic" w:cs="Century Gothic"/>
          <w:color w:val="000000"/>
        </w:rPr>
        <w:t xml:space="preserve"> se encontraba dentro de sus facultades y ámbito de  competencia como autoridad administrativa de aplicación, luego de haber  evaluado la misma -a partir del trabajo interdisciplinario de distintos organismos  de salud y del SENAF-, como la mejor alternativa de acuerdo a las  circunstancias del caso, que preserva y garantiza los derechos humanos de la  niña E. y también respeta los de su progenitora. Consideraron que, frente a la  decisión libre, clara e informada de la madre de que la niña sea adoptada, así  como de no dar noticia a sus familiares respecto de su embarazo primero y  luego del nacimiento, debe tener una valoración como expresión de voluntad  de la progenitora, no pudiendo obligarse a A.I.A. a ir en su contra,  correspondiendo que ello sea respetado por los organismos </w:t>
      </w:r>
      <w:proofErr w:type="spellStart"/>
      <w:r>
        <w:rPr>
          <w:rFonts w:ascii="Century Gothic" w:eastAsia="Century Gothic" w:hAnsi="Century Gothic" w:cs="Century Gothic"/>
          <w:color w:val="000000"/>
        </w:rPr>
        <w:t>proteccionales</w:t>
      </w:r>
      <w:proofErr w:type="spellEnd"/>
      <w:r>
        <w:rPr>
          <w:rFonts w:ascii="Century Gothic" w:eastAsia="Century Gothic" w:hAnsi="Century Gothic" w:cs="Century Gothic"/>
          <w:color w:val="000000"/>
        </w:rPr>
        <w:t xml:space="preserve"> y  judiciales. Que a ello se le sumaba la falta de información acerca de la  identidad del progenitor y que, dada la convivencia de la progenitora con su  familia de origen, tampoco puede darse la guarda de la niña a su grupo  familiar o ampliado, habida cuenta que quien en definitiva hubiese ejercido su  cuidado hubiera sido la propia madre, dado el contexto que la rodea, y quien  ya había expresado decididamente acerca de su deseo de no ver a la niña ni  tener contacto.  </w:t>
      </w:r>
    </w:p>
    <w:p w14:paraId="0000006A" w14:textId="77777777" w:rsidR="00C82B49" w:rsidRDefault="00954538">
      <w:pPr>
        <w:widowControl w:val="0"/>
        <w:pBdr>
          <w:top w:val="nil"/>
          <w:left w:val="nil"/>
          <w:bottom w:val="nil"/>
          <w:right w:val="nil"/>
          <w:between w:val="nil"/>
        </w:pBdr>
        <w:spacing w:before="25" w:line="357" w:lineRule="auto"/>
        <w:ind w:left="1151" w:right="-3" w:firstLine="1423"/>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Considero resulta acertada la solución de segunda instancia,  pues no resulta admisible la intromisión contra la voluntad expresada a lo largo  del tiempo por la progenitora de no querer ejercer el </w:t>
      </w:r>
      <w:proofErr w:type="spellStart"/>
      <w:r>
        <w:rPr>
          <w:rFonts w:ascii="Century Gothic" w:eastAsia="Century Gothic" w:hAnsi="Century Gothic" w:cs="Century Gothic"/>
          <w:color w:val="000000"/>
        </w:rPr>
        <w:t>maternaje</w:t>
      </w:r>
      <w:proofErr w:type="spellEnd"/>
      <w:r>
        <w:rPr>
          <w:rFonts w:ascii="Century Gothic" w:eastAsia="Century Gothic" w:hAnsi="Century Gothic" w:cs="Century Gothic"/>
          <w:color w:val="000000"/>
        </w:rPr>
        <w:t xml:space="preserve">, más aún  teniendo </w:t>
      </w:r>
      <w:r>
        <w:rPr>
          <w:rFonts w:ascii="Century Gothic" w:eastAsia="Century Gothic" w:hAnsi="Century Gothic" w:cs="Century Gothic"/>
          <w:color w:val="000000"/>
        </w:rPr>
        <w:lastRenderedPageBreak/>
        <w:t xml:space="preserve">en consideración las circunstancias particulares de dicho caso. </w:t>
      </w:r>
    </w:p>
    <w:p w14:paraId="0000006B" w14:textId="77777777" w:rsidR="00C82B49" w:rsidRDefault="00954538">
      <w:pPr>
        <w:widowControl w:val="0"/>
        <w:pBdr>
          <w:top w:val="nil"/>
          <w:left w:val="nil"/>
          <w:bottom w:val="nil"/>
          <w:right w:val="nil"/>
          <w:between w:val="nil"/>
        </w:pBdr>
        <w:spacing w:before="30" w:line="357" w:lineRule="auto"/>
        <w:ind w:left="1147" w:right="-5" w:firstLine="141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Similar situación afrontamos ahora: M. actualmente reside en  </w:t>
      </w:r>
      <w:proofErr w:type="spellStart"/>
      <w:r>
        <w:rPr>
          <w:rFonts w:ascii="Century Gothic" w:eastAsia="Century Gothic" w:hAnsi="Century Gothic" w:cs="Century Gothic"/>
          <w:color w:val="000000"/>
        </w:rPr>
        <w:t>Añelo</w:t>
      </w:r>
      <w:proofErr w:type="spellEnd"/>
      <w:r>
        <w:rPr>
          <w:rFonts w:ascii="Century Gothic" w:eastAsia="Century Gothic" w:hAnsi="Century Gothic" w:cs="Century Gothic"/>
          <w:color w:val="000000"/>
        </w:rPr>
        <w:t xml:space="preserve"> y junto con su progenitora. En definitiva, si considerásemos que debe  prevalecer el derecho de L.R. al agotamiento de la búsqueda de familia de  origen y ampliada, ¿No estaríamos obligando indirectamente a M. a </w:t>
      </w:r>
    </w:p>
    <w:p w14:paraId="0000006C" w14:textId="77777777" w:rsidR="00C82B49" w:rsidRDefault="00954538">
      <w:pPr>
        <w:widowControl w:val="0"/>
        <w:pBdr>
          <w:top w:val="nil"/>
          <w:left w:val="nil"/>
          <w:bottom w:val="nil"/>
          <w:right w:val="nil"/>
          <w:between w:val="nil"/>
        </w:pBdr>
        <w:spacing w:line="356" w:lineRule="auto"/>
        <w:ind w:right="1141" w:firstLine="23"/>
        <w:jc w:val="both"/>
        <w:rPr>
          <w:rFonts w:ascii="Century Gothic" w:eastAsia="Century Gothic" w:hAnsi="Century Gothic" w:cs="Century Gothic"/>
          <w:color w:val="000000"/>
        </w:rPr>
      </w:pPr>
      <w:proofErr w:type="spellStart"/>
      <w:r>
        <w:rPr>
          <w:rFonts w:ascii="Century Gothic" w:eastAsia="Century Gothic" w:hAnsi="Century Gothic" w:cs="Century Gothic"/>
          <w:color w:val="000000"/>
        </w:rPr>
        <w:t>maternar</w:t>
      </w:r>
      <w:proofErr w:type="spellEnd"/>
      <w:r>
        <w:rPr>
          <w:rFonts w:ascii="Century Gothic" w:eastAsia="Century Gothic" w:hAnsi="Century Gothic" w:cs="Century Gothic"/>
          <w:color w:val="000000"/>
        </w:rPr>
        <w:t xml:space="preserve">?.¿No es ello una clara repetición del patrón del Estado tutelar, que  se inmiscuye en la vida de los particulares para signarles así la forma en que  deben proyectar su individualidad? Considero que entrometerme en una  decisión tan íntima y personal sería una verdadera torpeza e imprudencia  jurídico-estatal. </w:t>
      </w:r>
    </w:p>
    <w:p w14:paraId="0000006D" w14:textId="77777777" w:rsidR="00C82B49" w:rsidRDefault="00954538">
      <w:pPr>
        <w:widowControl w:val="0"/>
        <w:pBdr>
          <w:top w:val="nil"/>
          <w:left w:val="nil"/>
          <w:bottom w:val="nil"/>
          <w:right w:val="nil"/>
          <w:between w:val="nil"/>
        </w:pBdr>
        <w:spacing w:before="31" w:line="357" w:lineRule="auto"/>
        <w:ind w:left="18" w:right="1138" w:firstLine="1428"/>
        <w:jc w:val="both"/>
        <w:rPr>
          <w:rFonts w:ascii="Century Gothic" w:eastAsia="Century Gothic" w:hAnsi="Century Gothic" w:cs="Century Gothic"/>
          <w:color w:val="000000"/>
        </w:rPr>
      </w:pPr>
      <w:r>
        <w:rPr>
          <w:rFonts w:ascii="Century Gothic" w:eastAsia="Century Gothic" w:hAnsi="Century Gothic" w:cs="Century Gothic"/>
          <w:color w:val="000000"/>
        </w:rPr>
        <w:t>En este orden de ideas, juega un papel fundamental el principio  de la autonomía de la persona, el cual veda toda actuación estatal que  procure la instrumentalización de la persona, es decir, que la convierta en un  medio para fines ajenos a la elección sobre su propia vida, su cuerpo y el  desarrollo pleno de su personalidad, dentro de los límites que impone la  Convención de los Derechos Humanos</w:t>
      </w:r>
      <w:r>
        <w:rPr>
          <w:rFonts w:ascii="Century Gothic" w:eastAsia="Century Gothic" w:hAnsi="Century Gothic" w:cs="Century Gothic"/>
          <w:color w:val="000000"/>
          <w:sz w:val="23"/>
          <w:szCs w:val="23"/>
          <w:vertAlign w:val="superscript"/>
        </w:rPr>
        <w:t>23</w:t>
      </w:r>
      <w:r>
        <w:rPr>
          <w:rFonts w:ascii="Century Gothic" w:eastAsia="Century Gothic" w:hAnsi="Century Gothic" w:cs="Century Gothic"/>
          <w:color w:val="000000"/>
        </w:rPr>
        <w:t xml:space="preserve">. </w:t>
      </w:r>
    </w:p>
    <w:p w14:paraId="0000006E" w14:textId="77777777" w:rsidR="00C82B49" w:rsidRDefault="00954538">
      <w:pPr>
        <w:widowControl w:val="0"/>
        <w:pBdr>
          <w:top w:val="nil"/>
          <w:left w:val="nil"/>
          <w:bottom w:val="nil"/>
          <w:right w:val="nil"/>
          <w:between w:val="nil"/>
        </w:pBdr>
        <w:spacing w:before="425" w:line="240" w:lineRule="auto"/>
        <w:ind w:left="16"/>
        <w:rPr>
          <w:rFonts w:ascii="Century Gothic" w:eastAsia="Century Gothic" w:hAnsi="Century Gothic" w:cs="Century Gothic"/>
          <w:b/>
          <w:color w:val="000000"/>
        </w:rPr>
      </w:pPr>
      <w:r>
        <w:rPr>
          <w:rFonts w:ascii="Century Gothic" w:eastAsia="Century Gothic" w:hAnsi="Century Gothic" w:cs="Century Gothic"/>
          <w:b/>
          <w:color w:val="000000"/>
        </w:rPr>
        <w:t xml:space="preserve">Otros países </w:t>
      </w:r>
    </w:p>
    <w:p w14:paraId="0000006F" w14:textId="77777777" w:rsidR="00C82B49" w:rsidRDefault="00954538">
      <w:pPr>
        <w:widowControl w:val="0"/>
        <w:pBdr>
          <w:top w:val="nil"/>
          <w:left w:val="nil"/>
          <w:bottom w:val="nil"/>
          <w:right w:val="nil"/>
          <w:between w:val="nil"/>
        </w:pBdr>
        <w:spacing w:before="533" w:line="357" w:lineRule="auto"/>
        <w:ind w:left="12" w:right="1130"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países como </w:t>
      </w:r>
      <w:r>
        <w:rPr>
          <w:rFonts w:ascii="Century Gothic" w:eastAsia="Century Gothic" w:hAnsi="Century Gothic" w:cs="Century Gothic"/>
          <w:color w:val="000000"/>
          <w:highlight w:val="yellow"/>
        </w:rPr>
        <w:t>Francia, Italia, Bélgica, Austria y Luxemburgo</w:t>
      </w:r>
      <w:r>
        <w:rPr>
          <w:rFonts w:ascii="Century Gothic" w:eastAsia="Century Gothic" w:hAnsi="Century Gothic" w:cs="Century Gothic"/>
          <w:color w:val="000000"/>
        </w:rPr>
        <w:t xml:space="preserve"> se  encuentra previsto un instituto jurídico conocido como “</w:t>
      </w:r>
      <w:r>
        <w:rPr>
          <w:rFonts w:ascii="Century Gothic" w:eastAsia="Century Gothic" w:hAnsi="Century Gothic" w:cs="Century Gothic"/>
          <w:color w:val="000000"/>
          <w:highlight w:val="yellow"/>
        </w:rPr>
        <w:t>parto anónimo”</w:t>
      </w:r>
      <w:r>
        <w:rPr>
          <w:rFonts w:ascii="Century Gothic" w:eastAsia="Century Gothic" w:hAnsi="Century Gothic" w:cs="Century Gothic"/>
          <w:color w:val="000000"/>
        </w:rPr>
        <w:t xml:space="preserve">  (“</w:t>
      </w:r>
      <w:proofErr w:type="spellStart"/>
      <w:r>
        <w:rPr>
          <w:rFonts w:ascii="Century Gothic" w:eastAsia="Century Gothic" w:hAnsi="Century Gothic" w:cs="Century Gothic"/>
          <w:i/>
          <w:color w:val="000000"/>
        </w:rPr>
        <w:t>accouchement</w:t>
      </w:r>
      <w:proofErr w:type="spellEnd"/>
      <w:r>
        <w:rPr>
          <w:rFonts w:ascii="Century Gothic" w:eastAsia="Century Gothic" w:hAnsi="Century Gothic" w:cs="Century Gothic"/>
          <w:i/>
          <w:color w:val="000000"/>
        </w:rPr>
        <w:t xml:space="preserve"> </w:t>
      </w:r>
      <w:proofErr w:type="spellStart"/>
      <w:r>
        <w:rPr>
          <w:rFonts w:ascii="Century Gothic" w:eastAsia="Century Gothic" w:hAnsi="Century Gothic" w:cs="Century Gothic"/>
          <w:i/>
          <w:color w:val="000000"/>
        </w:rPr>
        <w:t>sous</w:t>
      </w:r>
      <w:proofErr w:type="spellEnd"/>
      <w:r>
        <w:rPr>
          <w:rFonts w:ascii="Century Gothic" w:eastAsia="Century Gothic" w:hAnsi="Century Gothic" w:cs="Century Gothic"/>
          <w:i/>
          <w:color w:val="000000"/>
        </w:rPr>
        <w:t xml:space="preserve"> le </w:t>
      </w:r>
      <w:proofErr w:type="spellStart"/>
      <w:r>
        <w:rPr>
          <w:rFonts w:ascii="Century Gothic" w:eastAsia="Century Gothic" w:hAnsi="Century Gothic" w:cs="Century Gothic"/>
          <w:i/>
          <w:color w:val="000000"/>
        </w:rPr>
        <w:t>secret</w:t>
      </w:r>
      <w:proofErr w:type="spellEnd"/>
      <w:r>
        <w:rPr>
          <w:rFonts w:ascii="Century Gothic" w:eastAsia="Century Gothic" w:hAnsi="Century Gothic" w:cs="Century Gothic"/>
          <w:color w:val="000000"/>
        </w:rPr>
        <w:t>” en Francia) que es, en esencia, la facultad  que tiene la madre</w:t>
      </w:r>
      <w:r>
        <w:rPr>
          <w:rFonts w:ascii="Century Gothic" w:eastAsia="Century Gothic" w:hAnsi="Century Gothic" w:cs="Century Gothic"/>
          <w:color w:val="000000"/>
          <w:sz w:val="23"/>
          <w:szCs w:val="23"/>
          <w:vertAlign w:val="superscript"/>
        </w:rPr>
        <w:t xml:space="preserve">24 </w:t>
      </w:r>
      <w:r>
        <w:rPr>
          <w:rFonts w:ascii="Century Gothic" w:eastAsia="Century Gothic" w:hAnsi="Century Gothic" w:cs="Century Gothic"/>
          <w:color w:val="000000"/>
        </w:rPr>
        <w:t>de dar a su hijo en adopción, sin identificarse o  manteniendo la reserva de su identidad al momento del parto. A pedido de  ella, el hospital que registra el nacimiento omite consignar el nombre de la  madre, y el hijo es entregado a un organismo estadual para luego comenzar  con el proceso de adopción.</w:t>
      </w:r>
      <w:r>
        <w:rPr>
          <w:rFonts w:ascii="Century Gothic" w:eastAsia="Century Gothic" w:hAnsi="Century Gothic" w:cs="Century Gothic"/>
          <w:color w:val="000000"/>
          <w:highlight w:val="yellow"/>
        </w:rPr>
        <w:t xml:space="preserve"> Si bien en tal supuesto se enfrentan el derecho  de la madre a la libertad de poder renunciar a la maternidad y el derecho del  hijo a conocer su origen biológico,</w:t>
      </w:r>
      <w:r>
        <w:rPr>
          <w:rFonts w:ascii="Century Gothic" w:eastAsia="Century Gothic" w:hAnsi="Century Gothic" w:cs="Century Gothic"/>
          <w:color w:val="000000"/>
        </w:rPr>
        <w:t xml:space="preserve"> cuyo conflicto excede el marco de este proceso, si considero resulta aplicable en lo que respecta al derecho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a  vivir en su familia de origen y al agotamiento de la búsqueda de familia  extensa. </w:t>
      </w:r>
    </w:p>
    <w:p w14:paraId="00000070" w14:textId="77777777" w:rsidR="00C82B49" w:rsidRDefault="00954538">
      <w:pPr>
        <w:widowControl w:val="0"/>
        <w:pBdr>
          <w:top w:val="nil"/>
          <w:left w:val="nil"/>
          <w:bottom w:val="nil"/>
          <w:right w:val="nil"/>
          <w:between w:val="nil"/>
        </w:pBdr>
        <w:spacing w:before="30" w:line="358" w:lineRule="auto"/>
        <w:ind w:left="17" w:right="1132" w:firstLine="1428"/>
        <w:rPr>
          <w:rFonts w:ascii="Century Gothic" w:eastAsia="Century Gothic" w:hAnsi="Century Gothic" w:cs="Century Gothic"/>
          <w:color w:val="000000"/>
          <w:highlight w:val="yellow"/>
        </w:rPr>
      </w:pPr>
      <w:r>
        <w:rPr>
          <w:rFonts w:ascii="Century Gothic" w:eastAsia="Century Gothic" w:hAnsi="Century Gothic" w:cs="Century Gothic"/>
          <w:color w:val="000000"/>
        </w:rPr>
        <w:t xml:space="preserve">Los fundamentos básicos de dicho instituto son los siguientes:  </w:t>
      </w:r>
      <w:r>
        <w:rPr>
          <w:rFonts w:ascii="Century Gothic" w:eastAsia="Century Gothic" w:hAnsi="Century Gothic" w:cs="Century Gothic"/>
          <w:color w:val="000000"/>
          <w:highlight w:val="yellow"/>
        </w:rPr>
        <w:lastRenderedPageBreak/>
        <w:t xml:space="preserve">evita el aborto y el infanticidio, favorece la salud del </w:t>
      </w:r>
      <w:proofErr w:type="spellStart"/>
      <w:r>
        <w:rPr>
          <w:rFonts w:ascii="Century Gothic" w:eastAsia="Century Gothic" w:hAnsi="Century Gothic" w:cs="Century Gothic"/>
          <w:color w:val="000000"/>
          <w:highlight w:val="yellow"/>
        </w:rPr>
        <w:t>niñx</w:t>
      </w:r>
      <w:proofErr w:type="spellEnd"/>
      <w:r>
        <w:rPr>
          <w:rFonts w:ascii="Century Gothic" w:eastAsia="Century Gothic" w:hAnsi="Century Gothic" w:cs="Century Gothic"/>
          <w:color w:val="000000"/>
          <w:highlight w:val="yellow"/>
        </w:rPr>
        <w:t xml:space="preserve"> y de la persona  </w:t>
      </w:r>
    </w:p>
    <w:p w14:paraId="00000071" w14:textId="77777777" w:rsidR="00C82B49" w:rsidRDefault="00954538">
      <w:pPr>
        <w:widowControl w:val="0"/>
        <w:pBdr>
          <w:top w:val="nil"/>
          <w:left w:val="nil"/>
          <w:bottom w:val="nil"/>
          <w:right w:val="nil"/>
          <w:between w:val="nil"/>
        </w:pBdr>
        <w:spacing w:before="649" w:line="240" w:lineRule="auto"/>
        <w:ind w:left="14"/>
        <w:rPr>
          <w:rFonts w:ascii="Calibri" w:eastAsia="Calibri" w:hAnsi="Calibri" w:cs="Calibri"/>
          <w:color w:val="000000"/>
        </w:rPr>
      </w:pPr>
      <w:r>
        <w:rPr>
          <w:rFonts w:ascii="Calibri" w:eastAsia="Calibri" w:hAnsi="Calibri" w:cs="Calibri"/>
          <w:color w:val="000000"/>
          <w:sz w:val="23"/>
          <w:szCs w:val="23"/>
          <w:vertAlign w:val="superscript"/>
        </w:rPr>
        <w:t xml:space="preserve">23 </w:t>
      </w:r>
      <w:r>
        <w:rPr>
          <w:rFonts w:ascii="Calibri" w:eastAsia="Calibri" w:hAnsi="Calibri" w:cs="Calibri"/>
          <w:color w:val="000000"/>
        </w:rPr>
        <w:t xml:space="preserve">Opinión Consultiva 24/2017, p. 45. </w:t>
      </w:r>
    </w:p>
    <w:p w14:paraId="00000072" w14:textId="77777777" w:rsidR="00C82B49" w:rsidRDefault="00954538">
      <w:pPr>
        <w:widowControl w:val="0"/>
        <w:pBdr>
          <w:top w:val="nil"/>
          <w:left w:val="nil"/>
          <w:bottom w:val="nil"/>
          <w:right w:val="nil"/>
          <w:between w:val="nil"/>
        </w:pBdr>
        <w:spacing w:before="13" w:line="245" w:lineRule="auto"/>
        <w:ind w:left="16" w:right="1145" w:hanging="1"/>
        <w:rPr>
          <w:rFonts w:ascii="Calibri" w:eastAsia="Calibri" w:hAnsi="Calibri" w:cs="Calibri"/>
          <w:color w:val="000000"/>
        </w:rPr>
      </w:pPr>
      <w:r>
        <w:rPr>
          <w:rFonts w:ascii="Calibri" w:eastAsia="Calibri" w:hAnsi="Calibri" w:cs="Calibri"/>
          <w:color w:val="000000"/>
          <w:sz w:val="26"/>
          <w:szCs w:val="26"/>
          <w:vertAlign w:val="superscript"/>
        </w:rPr>
        <w:t xml:space="preserve">24 </w:t>
      </w:r>
      <w:r>
        <w:rPr>
          <w:rFonts w:ascii="Calibri" w:eastAsia="Calibri" w:hAnsi="Calibri" w:cs="Calibri"/>
          <w:color w:val="000000"/>
        </w:rPr>
        <w:t>Así lo prevé la legislación francesa. A la luz de los nuevos paradigmas, la palabra “mujer”  debiera sustituirse por la de “persona gestante”. Ley 26.743.</w:t>
      </w:r>
    </w:p>
    <w:p w14:paraId="00000073" w14:textId="77777777" w:rsidR="00C82B49" w:rsidRDefault="00954538">
      <w:pPr>
        <w:widowControl w:val="0"/>
        <w:pBdr>
          <w:top w:val="nil"/>
          <w:left w:val="nil"/>
          <w:bottom w:val="nil"/>
          <w:right w:val="nil"/>
          <w:between w:val="nil"/>
        </w:pBdr>
        <w:spacing w:line="354" w:lineRule="auto"/>
        <w:ind w:left="1153" w:right="5"/>
        <w:rPr>
          <w:rFonts w:ascii="Century Gothic" w:eastAsia="Century Gothic" w:hAnsi="Century Gothic" w:cs="Century Gothic"/>
          <w:color w:val="000000"/>
          <w:sz w:val="14"/>
          <w:szCs w:val="14"/>
        </w:rPr>
      </w:pPr>
      <w:r>
        <w:rPr>
          <w:rFonts w:ascii="Century Gothic" w:eastAsia="Century Gothic" w:hAnsi="Century Gothic" w:cs="Century Gothic"/>
          <w:color w:val="000000"/>
          <w:highlight w:val="yellow"/>
        </w:rPr>
        <w:t xml:space="preserve">gestante, facilita la adopción, porque el </w:t>
      </w:r>
      <w:proofErr w:type="spellStart"/>
      <w:r>
        <w:rPr>
          <w:rFonts w:ascii="Century Gothic" w:eastAsia="Century Gothic" w:hAnsi="Century Gothic" w:cs="Century Gothic"/>
          <w:color w:val="000000"/>
          <w:highlight w:val="yellow"/>
        </w:rPr>
        <w:t>niñx</w:t>
      </w:r>
      <w:proofErr w:type="spellEnd"/>
      <w:r>
        <w:rPr>
          <w:rFonts w:ascii="Century Gothic" w:eastAsia="Century Gothic" w:hAnsi="Century Gothic" w:cs="Century Gothic"/>
          <w:color w:val="000000"/>
          <w:highlight w:val="yellow"/>
        </w:rPr>
        <w:t xml:space="preserve"> queda en situación de  </w:t>
      </w:r>
      <w:proofErr w:type="spellStart"/>
      <w:r>
        <w:rPr>
          <w:rFonts w:ascii="Century Gothic" w:eastAsia="Century Gothic" w:hAnsi="Century Gothic" w:cs="Century Gothic"/>
          <w:color w:val="000000"/>
          <w:highlight w:val="yellow"/>
        </w:rPr>
        <w:t>adoptabilidad</w:t>
      </w:r>
      <w:proofErr w:type="spellEnd"/>
      <w:r>
        <w:rPr>
          <w:rFonts w:ascii="Century Gothic" w:eastAsia="Century Gothic" w:hAnsi="Century Gothic" w:cs="Century Gothic"/>
          <w:color w:val="000000"/>
          <w:highlight w:val="yellow"/>
        </w:rPr>
        <w:t xml:space="preserve"> desde el mismo momento del nacimiento.</w:t>
      </w:r>
      <w:r>
        <w:rPr>
          <w:rFonts w:ascii="Century Gothic" w:eastAsia="Century Gothic" w:hAnsi="Century Gothic" w:cs="Century Gothic"/>
          <w:color w:val="000000"/>
          <w:sz w:val="23"/>
          <w:szCs w:val="23"/>
          <w:vertAlign w:val="superscript"/>
        </w:rPr>
        <w:t>25</w:t>
      </w:r>
      <w:r>
        <w:rPr>
          <w:rFonts w:ascii="Century Gothic" w:eastAsia="Century Gothic" w:hAnsi="Century Gothic" w:cs="Century Gothic"/>
          <w:color w:val="000000"/>
          <w:sz w:val="14"/>
          <w:szCs w:val="14"/>
        </w:rPr>
        <w:t xml:space="preserve"> </w:t>
      </w:r>
    </w:p>
    <w:p w14:paraId="00000074" w14:textId="77777777" w:rsidR="00C82B49" w:rsidRDefault="00954538">
      <w:pPr>
        <w:widowControl w:val="0"/>
        <w:pBdr>
          <w:top w:val="nil"/>
          <w:left w:val="nil"/>
          <w:bottom w:val="nil"/>
          <w:right w:val="nil"/>
          <w:between w:val="nil"/>
        </w:pBdr>
        <w:spacing w:before="33" w:line="357" w:lineRule="auto"/>
        <w:ind w:left="1147" w:right="-2" w:firstLine="1434"/>
        <w:jc w:val="both"/>
        <w:rPr>
          <w:rFonts w:ascii="Century Gothic" w:eastAsia="Century Gothic" w:hAnsi="Century Gothic" w:cs="Century Gothic"/>
          <w:color w:val="000000"/>
          <w:sz w:val="14"/>
          <w:szCs w:val="14"/>
        </w:rPr>
      </w:pPr>
      <w:r>
        <w:rPr>
          <w:rFonts w:ascii="Century Gothic" w:eastAsia="Century Gothic" w:hAnsi="Century Gothic" w:cs="Century Gothic"/>
          <w:color w:val="000000"/>
          <w:highlight w:val="yellow"/>
        </w:rPr>
        <w:t>En el año 2013, en el caso “</w:t>
      </w:r>
      <w:proofErr w:type="spellStart"/>
      <w:r>
        <w:rPr>
          <w:rFonts w:ascii="Century Gothic" w:eastAsia="Century Gothic" w:hAnsi="Century Gothic" w:cs="Century Gothic"/>
          <w:color w:val="000000"/>
          <w:highlight w:val="yellow"/>
        </w:rPr>
        <w:t>Odièvre</w:t>
      </w:r>
      <w:proofErr w:type="spellEnd"/>
      <w:r>
        <w:rPr>
          <w:rFonts w:ascii="Century Gothic" w:eastAsia="Century Gothic" w:hAnsi="Century Gothic" w:cs="Century Gothic"/>
          <w:color w:val="000000"/>
          <w:highlight w:val="yellow"/>
        </w:rPr>
        <w:t xml:space="preserve"> V. France”, por diez votos  contra siete, el Tribunal Europeo de Derechos Humanos entendió que el  sistema francés del parto anónimo no vulnera el derecho a la vida íntima  previsto en el art. 8 de la Convención Europea de Derechos Humanos, en  razón de que el país ha valorado los distintos intereses y derechos en juego, no  excediéndose en el margen de apreciación que le corresponde al legisla</w:t>
      </w:r>
      <w:r>
        <w:rPr>
          <w:rFonts w:ascii="Century Gothic" w:eastAsia="Century Gothic" w:hAnsi="Century Gothic" w:cs="Century Gothic"/>
          <w:color w:val="000000"/>
          <w:highlight w:val="white"/>
        </w:rPr>
        <w:t>r.</w:t>
      </w:r>
      <w:r>
        <w:rPr>
          <w:rFonts w:ascii="Century Gothic" w:eastAsia="Century Gothic" w:hAnsi="Century Gothic" w:cs="Century Gothic"/>
          <w:color w:val="000000"/>
          <w:sz w:val="23"/>
          <w:szCs w:val="23"/>
          <w:vertAlign w:val="superscript"/>
        </w:rPr>
        <w:t>26</w:t>
      </w:r>
      <w:r>
        <w:rPr>
          <w:rFonts w:ascii="Century Gothic" w:eastAsia="Century Gothic" w:hAnsi="Century Gothic" w:cs="Century Gothic"/>
          <w:color w:val="000000"/>
          <w:sz w:val="14"/>
          <w:szCs w:val="14"/>
        </w:rPr>
        <w:t xml:space="preserve"> </w:t>
      </w:r>
    </w:p>
    <w:p w14:paraId="00000075" w14:textId="77777777" w:rsidR="00C82B49" w:rsidRDefault="00954538">
      <w:pPr>
        <w:widowControl w:val="0"/>
        <w:pBdr>
          <w:top w:val="nil"/>
          <w:left w:val="nil"/>
          <w:bottom w:val="nil"/>
          <w:right w:val="nil"/>
          <w:between w:val="nil"/>
        </w:pBdr>
        <w:spacing w:before="30" w:line="356" w:lineRule="auto"/>
        <w:ind w:left="1143" w:right="-1" w:firstLine="1438"/>
        <w:rPr>
          <w:rFonts w:ascii="Century Gothic" w:eastAsia="Century Gothic" w:hAnsi="Century Gothic" w:cs="Century Gothic"/>
          <w:color w:val="000000"/>
          <w:highlight w:val="cyan"/>
        </w:rPr>
      </w:pPr>
      <w:r>
        <w:rPr>
          <w:rFonts w:ascii="Century Gothic" w:eastAsia="Century Gothic" w:hAnsi="Century Gothic" w:cs="Century Gothic"/>
          <w:color w:val="000000"/>
          <w:highlight w:val="cyan"/>
        </w:rPr>
        <w:t>El deber de agotar las medidas tendientes a la permanencia en  la familia de origen frente a un desprendimiento de la persona gestante expresado antes del parto es una cuestión delicada: “</w:t>
      </w:r>
      <w:r>
        <w:rPr>
          <w:rFonts w:ascii="Century Gothic" w:eastAsia="Century Gothic" w:hAnsi="Century Gothic" w:cs="Century Gothic"/>
          <w:i/>
          <w:color w:val="000000"/>
          <w:highlight w:val="cyan"/>
        </w:rPr>
        <w:t>Los operadores jurídicos  llevarán a cabo esa tarea cuidando de no incurrir en injerencias indebidas en  ámbitos privativos de la libertad de la parturienta</w:t>
      </w:r>
      <w:r>
        <w:rPr>
          <w:rFonts w:ascii="Century Gothic" w:eastAsia="Century Gothic" w:hAnsi="Century Gothic" w:cs="Century Gothic"/>
          <w:color w:val="000000"/>
          <w:highlight w:val="cyan"/>
        </w:rPr>
        <w:t>”</w:t>
      </w:r>
      <w:r>
        <w:rPr>
          <w:rFonts w:ascii="Century Gothic" w:eastAsia="Century Gothic" w:hAnsi="Century Gothic" w:cs="Century Gothic"/>
          <w:color w:val="000000"/>
          <w:sz w:val="23"/>
          <w:szCs w:val="23"/>
          <w:highlight w:val="cyan"/>
          <w:vertAlign w:val="superscript"/>
        </w:rPr>
        <w:t>27</w:t>
      </w:r>
      <w:r>
        <w:rPr>
          <w:rFonts w:ascii="Century Gothic" w:eastAsia="Century Gothic" w:hAnsi="Century Gothic" w:cs="Century Gothic"/>
          <w:color w:val="000000"/>
          <w:highlight w:val="cyan"/>
        </w:rPr>
        <w:t xml:space="preserve">. </w:t>
      </w:r>
    </w:p>
    <w:p w14:paraId="00000076" w14:textId="77777777" w:rsidR="00C82B49" w:rsidRDefault="00954538">
      <w:pPr>
        <w:widowControl w:val="0"/>
        <w:pBdr>
          <w:top w:val="nil"/>
          <w:left w:val="nil"/>
          <w:bottom w:val="nil"/>
          <w:right w:val="nil"/>
          <w:between w:val="nil"/>
        </w:pBdr>
        <w:spacing w:before="31" w:line="357" w:lineRule="auto"/>
        <w:ind w:left="1150" w:right="-1" w:firstLine="1431"/>
        <w:jc w:val="both"/>
        <w:rPr>
          <w:rFonts w:ascii="Century Gothic" w:eastAsia="Century Gothic" w:hAnsi="Century Gothic" w:cs="Century Gothic"/>
          <w:color w:val="000000"/>
        </w:rPr>
      </w:pPr>
      <w:r>
        <w:rPr>
          <w:rFonts w:ascii="Century Gothic" w:eastAsia="Century Gothic" w:hAnsi="Century Gothic" w:cs="Century Gothic"/>
          <w:color w:val="000000"/>
          <w:highlight w:val="cyan"/>
        </w:rPr>
        <w:t>Es por todos los motivos expuestos que entiendo que, en la  presente situación, debe prevalecer el derecho de M. a elegir libremente su  deseo de no maternar</w:t>
      </w:r>
      <w:r>
        <w:rPr>
          <w:rFonts w:ascii="Century Gothic" w:eastAsia="Century Gothic" w:hAnsi="Century Gothic" w:cs="Century Gothic"/>
          <w:color w:val="000000"/>
          <w:sz w:val="23"/>
          <w:szCs w:val="23"/>
          <w:highlight w:val="cyan"/>
          <w:vertAlign w:val="superscript"/>
        </w:rPr>
        <w:t xml:space="preserve">28 </w:t>
      </w:r>
      <w:r>
        <w:rPr>
          <w:rFonts w:ascii="Century Gothic" w:eastAsia="Century Gothic" w:hAnsi="Century Gothic" w:cs="Century Gothic"/>
          <w:color w:val="000000"/>
          <w:highlight w:val="cyan"/>
        </w:rPr>
        <w:t xml:space="preserve">y que se respete su decisión de no indagar en su  familia extensa la posibilidad de permanencia del </w:t>
      </w:r>
      <w:proofErr w:type="spellStart"/>
      <w:r>
        <w:rPr>
          <w:rFonts w:ascii="Century Gothic" w:eastAsia="Century Gothic" w:hAnsi="Century Gothic" w:cs="Century Gothic"/>
          <w:color w:val="000000"/>
          <w:highlight w:val="cyan"/>
        </w:rPr>
        <w:t>niñx</w:t>
      </w:r>
      <w:proofErr w:type="spellEnd"/>
      <w:r>
        <w:rPr>
          <w:rFonts w:ascii="Century Gothic" w:eastAsia="Century Gothic" w:hAnsi="Century Gothic" w:cs="Century Gothic"/>
          <w:color w:val="000000"/>
          <w:highlight w:val="cyan"/>
        </w:rPr>
        <w:t xml:space="preserve"> en su familia de origen.</w:t>
      </w:r>
      <w:r>
        <w:rPr>
          <w:rFonts w:ascii="Century Gothic" w:eastAsia="Century Gothic" w:hAnsi="Century Gothic" w:cs="Century Gothic"/>
          <w:color w:val="000000"/>
        </w:rPr>
        <w:t xml:space="preserve"> </w:t>
      </w:r>
    </w:p>
    <w:p w14:paraId="00000077" w14:textId="77777777" w:rsidR="00C82B49" w:rsidRDefault="00954538">
      <w:pPr>
        <w:widowControl w:val="0"/>
        <w:pBdr>
          <w:top w:val="nil"/>
          <w:left w:val="nil"/>
          <w:bottom w:val="nil"/>
          <w:right w:val="nil"/>
          <w:between w:val="nil"/>
        </w:pBdr>
        <w:spacing w:before="426" w:line="240" w:lineRule="auto"/>
        <w:ind w:right="674"/>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2) La solución adoptada, ¿Es respetuosa del Interés Superior del </w:t>
      </w:r>
      <w:proofErr w:type="spellStart"/>
      <w:r>
        <w:rPr>
          <w:rFonts w:ascii="Century Gothic" w:eastAsia="Century Gothic" w:hAnsi="Century Gothic" w:cs="Century Gothic"/>
          <w:b/>
          <w:color w:val="000000"/>
        </w:rPr>
        <w:t>Niñx</w:t>
      </w:r>
      <w:proofErr w:type="spellEnd"/>
      <w:r>
        <w:rPr>
          <w:rFonts w:ascii="Century Gothic" w:eastAsia="Century Gothic" w:hAnsi="Century Gothic" w:cs="Century Gothic"/>
          <w:b/>
          <w:color w:val="000000"/>
        </w:rPr>
        <w:t xml:space="preserve">? </w:t>
      </w:r>
    </w:p>
    <w:p w14:paraId="00000078" w14:textId="77777777" w:rsidR="00C82B49" w:rsidRDefault="00954538">
      <w:pPr>
        <w:widowControl w:val="0"/>
        <w:pBdr>
          <w:top w:val="nil"/>
          <w:left w:val="nil"/>
          <w:bottom w:val="nil"/>
          <w:right w:val="nil"/>
          <w:between w:val="nil"/>
        </w:pBdr>
        <w:spacing w:before="538" w:line="357" w:lineRule="auto"/>
        <w:ind w:left="1140" w:right="-3" w:firstLine="1441"/>
        <w:jc w:val="both"/>
        <w:rPr>
          <w:rFonts w:ascii="Century Gothic" w:eastAsia="Century Gothic" w:hAnsi="Century Gothic" w:cs="Century Gothic"/>
          <w:i/>
          <w:color w:val="000000"/>
        </w:rPr>
      </w:pPr>
      <w:r>
        <w:rPr>
          <w:rFonts w:ascii="Century Gothic" w:eastAsia="Century Gothic" w:hAnsi="Century Gothic" w:cs="Century Gothic"/>
          <w:color w:val="000000"/>
        </w:rPr>
        <w:t>Este principio de raigambre convencional-constitucional,  invocado en los arts. 9, 18, 20, 21, 37 y 40 de la Convención de los Derechos del  Niño, se encuentra definido por el art. 3 de la ley 26.061: “</w:t>
      </w:r>
      <w:r>
        <w:rPr>
          <w:rFonts w:ascii="Century Gothic" w:eastAsia="Century Gothic" w:hAnsi="Century Gothic" w:cs="Century Gothic"/>
          <w:i/>
          <w:color w:val="000000"/>
        </w:rPr>
        <w:t xml:space="preserve">A los efectos de la  presente ley se entiende por interés superior de la niña, niño y adolescente la  máxima satisfacción, integral y simultánea de los derechos y garantías  reconocidos por esta ley. Debiéndose respetar: a) Su condición de sujeto de  </w:t>
      </w:r>
    </w:p>
    <w:p w14:paraId="00000079" w14:textId="77777777" w:rsidR="00C82B49" w:rsidRDefault="00954538">
      <w:pPr>
        <w:widowControl w:val="0"/>
        <w:pBdr>
          <w:top w:val="nil"/>
          <w:left w:val="nil"/>
          <w:bottom w:val="nil"/>
          <w:right w:val="nil"/>
          <w:between w:val="nil"/>
        </w:pBdr>
        <w:spacing w:before="511" w:line="245" w:lineRule="auto"/>
        <w:ind w:left="1150" w:right="9"/>
        <w:rPr>
          <w:rFonts w:ascii="Calibri" w:eastAsia="Calibri" w:hAnsi="Calibri" w:cs="Calibri"/>
          <w:i/>
          <w:color w:val="000000"/>
        </w:rPr>
      </w:pPr>
      <w:r>
        <w:rPr>
          <w:rFonts w:ascii="Calibri" w:eastAsia="Calibri" w:hAnsi="Calibri" w:cs="Calibri"/>
          <w:color w:val="000000"/>
          <w:sz w:val="23"/>
          <w:szCs w:val="23"/>
          <w:vertAlign w:val="superscript"/>
        </w:rPr>
        <w:lastRenderedPageBreak/>
        <w:t xml:space="preserve">25 </w:t>
      </w:r>
      <w:proofErr w:type="spellStart"/>
      <w:r>
        <w:rPr>
          <w:rFonts w:ascii="Calibri" w:eastAsia="Calibri" w:hAnsi="Calibri" w:cs="Calibri"/>
          <w:color w:val="000000"/>
        </w:rPr>
        <w:t>Kemelmajer</w:t>
      </w:r>
      <w:proofErr w:type="spellEnd"/>
      <w:r>
        <w:rPr>
          <w:rFonts w:ascii="Calibri" w:eastAsia="Calibri" w:hAnsi="Calibri" w:cs="Calibri"/>
          <w:color w:val="000000"/>
        </w:rPr>
        <w:t xml:space="preserve"> de </w:t>
      </w:r>
      <w:proofErr w:type="spellStart"/>
      <w:r>
        <w:rPr>
          <w:rFonts w:ascii="Calibri" w:eastAsia="Calibri" w:hAnsi="Calibri" w:cs="Calibri"/>
          <w:color w:val="000000"/>
        </w:rPr>
        <w:t>Carlucci</w:t>
      </w:r>
      <w:proofErr w:type="spellEnd"/>
      <w:r>
        <w:rPr>
          <w:rFonts w:ascii="Calibri" w:eastAsia="Calibri" w:hAnsi="Calibri" w:cs="Calibri"/>
          <w:color w:val="000000"/>
        </w:rPr>
        <w:t xml:space="preserve">, Aida; </w:t>
      </w:r>
      <w:proofErr w:type="spellStart"/>
      <w:r>
        <w:rPr>
          <w:rFonts w:ascii="Calibri" w:eastAsia="Calibri" w:hAnsi="Calibri" w:cs="Calibri"/>
          <w:i/>
          <w:color w:val="000000"/>
        </w:rPr>
        <w:t>Orígen</w:t>
      </w:r>
      <w:proofErr w:type="spellEnd"/>
      <w:r>
        <w:rPr>
          <w:rFonts w:ascii="Calibri" w:eastAsia="Calibri" w:hAnsi="Calibri" w:cs="Calibri"/>
          <w:i/>
          <w:color w:val="000000"/>
        </w:rPr>
        <w:t xml:space="preserve"> biológico – Derecho a Conocer; Cita online  0003/014287 </w:t>
      </w:r>
    </w:p>
    <w:p w14:paraId="0000007A" w14:textId="77777777" w:rsidR="00C82B49" w:rsidRDefault="00954538">
      <w:pPr>
        <w:widowControl w:val="0"/>
        <w:pBdr>
          <w:top w:val="nil"/>
          <w:left w:val="nil"/>
          <w:bottom w:val="nil"/>
          <w:right w:val="nil"/>
          <w:between w:val="nil"/>
        </w:pBdr>
        <w:spacing w:before="3" w:line="245" w:lineRule="auto"/>
        <w:ind w:left="1152" w:right="10" w:hanging="2"/>
        <w:rPr>
          <w:rFonts w:ascii="Calibri" w:eastAsia="Calibri" w:hAnsi="Calibri" w:cs="Calibri"/>
          <w:color w:val="000000"/>
        </w:rPr>
      </w:pPr>
      <w:r>
        <w:rPr>
          <w:rFonts w:ascii="Calibri" w:eastAsia="Calibri" w:hAnsi="Calibri" w:cs="Calibri"/>
          <w:color w:val="000000"/>
          <w:sz w:val="23"/>
          <w:szCs w:val="23"/>
          <w:vertAlign w:val="superscript"/>
        </w:rPr>
        <w:t xml:space="preserve">26 </w:t>
      </w:r>
      <w:proofErr w:type="spellStart"/>
      <w:r>
        <w:rPr>
          <w:rFonts w:ascii="Calibri" w:eastAsia="Calibri" w:hAnsi="Calibri" w:cs="Calibri"/>
          <w:color w:val="000000"/>
          <w:highlight w:val="white"/>
        </w:rPr>
        <w:t>Poisson-Drocourt</w:t>
      </w:r>
      <w:proofErr w:type="spellEnd"/>
      <w:r>
        <w:rPr>
          <w:rFonts w:ascii="Calibri" w:eastAsia="Calibri" w:hAnsi="Calibri" w:cs="Calibri"/>
          <w:color w:val="000000"/>
          <w:highlight w:val="white"/>
        </w:rPr>
        <w:t xml:space="preserve">, Elisabeth, </w:t>
      </w:r>
      <w:proofErr w:type="spellStart"/>
      <w:r>
        <w:rPr>
          <w:rFonts w:ascii="Calibri" w:eastAsia="Calibri" w:hAnsi="Calibri" w:cs="Calibri"/>
          <w:i/>
          <w:color w:val="000000"/>
        </w:rPr>
        <w:t>accouchement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sous</w:t>
      </w:r>
      <w:proofErr w:type="spellEnd"/>
      <w:r>
        <w:rPr>
          <w:rFonts w:ascii="Calibri" w:eastAsia="Calibri" w:hAnsi="Calibri" w:cs="Calibri"/>
          <w:i/>
          <w:color w:val="000000"/>
        </w:rPr>
        <w:t xml:space="preserve"> </w:t>
      </w:r>
      <w:r>
        <w:rPr>
          <w:rFonts w:ascii="Calibri" w:eastAsia="Calibri" w:hAnsi="Calibri" w:cs="Calibri"/>
          <w:color w:val="000000"/>
          <w:highlight w:val="white"/>
        </w:rPr>
        <w:t xml:space="preserve">X. </w:t>
      </w:r>
      <w:proofErr w:type="spellStart"/>
      <w:r>
        <w:rPr>
          <w:rFonts w:ascii="Calibri" w:eastAsia="Calibri" w:hAnsi="Calibri" w:cs="Calibri"/>
          <w:color w:val="000000"/>
          <w:highlight w:val="white"/>
        </w:rPr>
        <w:t>Conflit</w:t>
      </w:r>
      <w:proofErr w:type="spellEnd"/>
      <w:r>
        <w:rPr>
          <w:rFonts w:ascii="Calibri" w:eastAsia="Calibri" w:hAnsi="Calibri" w:cs="Calibri"/>
          <w:color w:val="000000"/>
          <w:highlight w:val="white"/>
        </w:rPr>
        <w:t xml:space="preserve"> entre </w:t>
      </w:r>
      <w:proofErr w:type="spellStart"/>
      <w:r>
        <w:rPr>
          <w:rFonts w:ascii="Calibri" w:eastAsia="Calibri" w:hAnsi="Calibri" w:cs="Calibri"/>
          <w:color w:val="000000"/>
          <w:highlight w:val="white"/>
        </w:rPr>
        <w:t>père</w:t>
      </w:r>
      <w:proofErr w:type="spellEnd"/>
      <w:r>
        <w:rPr>
          <w:rFonts w:ascii="Calibri" w:eastAsia="Calibri" w:hAnsi="Calibri" w:cs="Calibri"/>
          <w:color w:val="000000"/>
          <w:highlight w:val="white"/>
        </w:rPr>
        <w:t xml:space="preserve"> par le </w:t>
      </w:r>
      <w:proofErr w:type="spellStart"/>
      <w:r>
        <w:rPr>
          <w:rFonts w:ascii="Calibri" w:eastAsia="Calibri" w:hAnsi="Calibri" w:cs="Calibri"/>
          <w:color w:val="000000"/>
          <w:highlight w:val="white"/>
        </w:rPr>
        <w:t>sang</w:t>
      </w:r>
      <w:proofErr w:type="spellEnd"/>
      <w:r>
        <w:rPr>
          <w:rFonts w:ascii="Calibri" w:eastAsia="Calibri" w:hAnsi="Calibri" w:cs="Calibri"/>
          <w:color w:val="000000"/>
          <w:highlight w:val="white"/>
        </w:rPr>
        <w:t xml:space="preserve"> et </w:t>
      </w:r>
      <w:r>
        <w:rPr>
          <w:rFonts w:ascii="Calibri" w:eastAsia="Calibri" w:hAnsi="Calibri" w:cs="Calibri"/>
          <w:color w:val="000000"/>
        </w:rPr>
        <w:t xml:space="preserve"> </w:t>
      </w:r>
      <w:proofErr w:type="spellStart"/>
      <w:r>
        <w:rPr>
          <w:rFonts w:ascii="Calibri" w:eastAsia="Calibri" w:hAnsi="Calibri" w:cs="Calibri"/>
          <w:color w:val="000000"/>
          <w:highlight w:val="white"/>
        </w:rPr>
        <w:t>adoptants</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potentiels</w:t>
      </w:r>
      <w:proofErr w:type="spellEnd"/>
      <w:r>
        <w:rPr>
          <w:rFonts w:ascii="Calibri" w:eastAsia="Calibri" w:hAnsi="Calibri" w:cs="Calibri"/>
          <w:color w:val="000000"/>
          <w:highlight w:val="white"/>
        </w:rPr>
        <w:t xml:space="preserve">", en </w:t>
      </w:r>
      <w:proofErr w:type="spellStart"/>
      <w:r>
        <w:rPr>
          <w:rFonts w:ascii="Calibri" w:eastAsia="Calibri" w:hAnsi="Calibri" w:cs="Calibri"/>
          <w:color w:val="000000"/>
          <w:highlight w:val="white"/>
        </w:rPr>
        <w:t>Recueil</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Dalloz</w:t>
      </w:r>
      <w:proofErr w:type="spellEnd"/>
      <w:r>
        <w:rPr>
          <w:rFonts w:ascii="Calibri" w:eastAsia="Calibri" w:hAnsi="Calibri" w:cs="Calibri"/>
          <w:color w:val="000000"/>
          <w:highlight w:val="white"/>
        </w:rPr>
        <w:t>, n. 43, 2003, p. 2910.</w:t>
      </w:r>
      <w:r>
        <w:rPr>
          <w:rFonts w:ascii="Calibri" w:eastAsia="Calibri" w:hAnsi="Calibri" w:cs="Calibri"/>
          <w:color w:val="000000"/>
        </w:rPr>
        <w:t xml:space="preserve"> </w:t>
      </w:r>
    </w:p>
    <w:p w14:paraId="0000007B" w14:textId="77777777" w:rsidR="00C82B49" w:rsidRDefault="00954538">
      <w:pPr>
        <w:widowControl w:val="0"/>
        <w:pBdr>
          <w:top w:val="nil"/>
          <w:left w:val="nil"/>
          <w:bottom w:val="nil"/>
          <w:right w:val="nil"/>
          <w:between w:val="nil"/>
        </w:pBdr>
        <w:spacing w:before="8" w:line="241" w:lineRule="auto"/>
        <w:ind w:left="1150" w:right="10"/>
        <w:rPr>
          <w:rFonts w:ascii="Calibri" w:eastAsia="Calibri" w:hAnsi="Calibri" w:cs="Calibri"/>
          <w:color w:val="000000"/>
        </w:rPr>
      </w:pPr>
      <w:r>
        <w:rPr>
          <w:rFonts w:ascii="Calibri" w:eastAsia="Calibri" w:hAnsi="Calibri" w:cs="Calibri"/>
          <w:color w:val="000000"/>
          <w:sz w:val="23"/>
          <w:szCs w:val="23"/>
          <w:vertAlign w:val="superscript"/>
        </w:rPr>
        <w:t xml:space="preserve">27 </w:t>
      </w:r>
      <w:r>
        <w:rPr>
          <w:rFonts w:ascii="Calibri" w:eastAsia="Calibri" w:hAnsi="Calibri" w:cs="Calibri"/>
          <w:color w:val="000000"/>
        </w:rPr>
        <w:t xml:space="preserve">Marisa Herrera – Gustavo Caramelo – Sebastián Picasso; </w:t>
      </w:r>
      <w:r>
        <w:rPr>
          <w:rFonts w:ascii="Calibri" w:eastAsia="Calibri" w:hAnsi="Calibri" w:cs="Calibri"/>
          <w:i/>
          <w:color w:val="000000"/>
        </w:rPr>
        <w:t>Código Civil y Comercial de la  Nación Comentado</w:t>
      </w:r>
      <w:r>
        <w:rPr>
          <w:rFonts w:ascii="Calibri" w:eastAsia="Calibri" w:hAnsi="Calibri" w:cs="Calibri"/>
          <w:color w:val="000000"/>
        </w:rPr>
        <w:t xml:space="preserve">; comentario al art. 607, p. 393. </w:t>
      </w:r>
    </w:p>
    <w:p w14:paraId="0000007C" w14:textId="77777777" w:rsidR="00C82B49" w:rsidRDefault="00954538">
      <w:pPr>
        <w:widowControl w:val="0"/>
        <w:pBdr>
          <w:top w:val="nil"/>
          <w:left w:val="nil"/>
          <w:bottom w:val="nil"/>
          <w:right w:val="nil"/>
          <w:between w:val="nil"/>
        </w:pBdr>
        <w:spacing w:before="12" w:line="245" w:lineRule="auto"/>
        <w:ind w:left="1158" w:right="17" w:hanging="8"/>
        <w:rPr>
          <w:rFonts w:ascii="Calibri" w:eastAsia="Calibri" w:hAnsi="Calibri" w:cs="Calibri"/>
          <w:color w:val="000000"/>
        </w:rPr>
      </w:pPr>
      <w:r>
        <w:rPr>
          <w:rFonts w:ascii="Calibri" w:eastAsia="Calibri" w:hAnsi="Calibri" w:cs="Calibri"/>
          <w:color w:val="000000"/>
          <w:sz w:val="23"/>
          <w:szCs w:val="23"/>
          <w:vertAlign w:val="superscript"/>
        </w:rPr>
        <w:t xml:space="preserve">28 </w:t>
      </w:r>
      <w:r>
        <w:rPr>
          <w:rFonts w:ascii="Calibri" w:eastAsia="Calibri" w:hAnsi="Calibri" w:cs="Calibri"/>
          <w:color w:val="000000"/>
        </w:rPr>
        <w:t>Art. 1, 2, 3, 4, 5, 12 de la CEDAW, aprobada por ley 23.179 en el año 1985 e incorporada a  nuestra Constitución Nacional en el año 1994 (art. 75 inc. 22); art. 607 inc. b) del C.C.C.N..</w:t>
      </w:r>
    </w:p>
    <w:p w14:paraId="0000007D" w14:textId="77777777" w:rsidR="00C82B49" w:rsidRDefault="00954538">
      <w:pPr>
        <w:widowControl w:val="0"/>
        <w:pBdr>
          <w:top w:val="nil"/>
          <w:left w:val="nil"/>
          <w:bottom w:val="nil"/>
          <w:right w:val="nil"/>
          <w:between w:val="nil"/>
        </w:pBdr>
        <w:spacing w:line="357" w:lineRule="auto"/>
        <w:ind w:left="3" w:right="1132" w:firstLine="10"/>
        <w:jc w:val="both"/>
        <w:rPr>
          <w:rFonts w:ascii="Century Gothic" w:eastAsia="Century Gothic" w:hAnsi="Century Gothic" w:cs="Century Gothic"/>
          <w:color w:val="000000"/>
        </w:rPr>
      </w:pPr>
      <w:r>
        <w:rPr>
          <w:rFonts w:ascii="Century Gothic" w:eastAsia="Century Gothic" w:hAnsi="Century Gothic" w:cs="Century Gothic"/>
          <w:i/>
          <w:color w:val="000000"/>
        </w:rPr>
        <w:t>derecho; b) el derecho de las niñas, niños y adolescentes a ser oídos y que su  opinión sea tenida en cuenta; c) el respeto pleno de su desarrollo personal de  sus derechos en su medio familiar, social y cultural; d) su edad, grado de  madurez, capacidad de discernimiento y demás condiciones personales; e) el  equilibrio entre los derechos y garantías de las niñas, niños y adolescentes y las  exigencias del bien común; f) su centro de vida… Cuando exista conflicto  entre los derechos e intereses de las niñas, niños y adolescentes frente a otros  derechos e intereses legítimos, prevalecerán los primeros</w:t>
      </w:r>
      <w:r>
        <w:rPr>
          <w:rFonts w:ascii="Century Gothic" w:eastAsia="Century Gothic" w:hAnsi="Century Gothic" w:cs="Century Gothic"/>
          <w:color w:val="000000"/>
        </w:rPr>
        <w:t xml:space="preserve">”. </w:t>
      </w:r>
    </w:p>
    <w:p w14:paraId="0000007E" w14:textId="77777777" w:rsidR="00C82B49" w:rsidRDefault="00954538">
      <w:pPr>
        <w:widowControl w:val="0"/>
        <w:pBdr>
          <w:top w:val="nil"/>
          <w:left w:val="nil"/>
          <w:bottom w:val="nil"/>
          <w:right w:val="nil"/>
          <w:between w:val="nil"/>
        </w:pBdr>
        <w:spacing w:before="30" w:line="356" w:lineRule="auto"/>
        <w:ind w:left="17" w:right="1135" w:firstLine="1428"/>
        <w:jc w:val="both"/>
        <w:rPr>
          <w:rFonts w:ascii="Century Gothic" w:eastAsia="Century Gothic" w:hAnsi="Century Gothic" w:cs="Century Gothic"/>
          <w:color w:val="000000"/>
        </w:rPr>
      </w:pPr>
      <w:r>
        <w:rPr>
          <w:rFonts w:ascii="Century Gothic" w:eastAsia="Century Gothic" w:hAnsi="Century Gothic" w:cs="Century Gothic"/>
          <w:color w:val="000000"/>
        </w:rPr>
        <w:t>En este sentido, la jurisprudencia de la Corte Suprema de Justicia  ha definido al interés superior del niño como una “pauta de hermenéutica  constitucional y principio rector para la solución de los derechos en pugna,  que deberá ser determinado en lo que hace a su contenido en cada caso  concreto”</w:t>
      </w:r>
      <w:r>
        <w:rPr>
          <w:rFonts w:ascii="Century Gothic" w:eastAsia="Century Gothic" w:hAnsi="Century Gothic" w:cs="Century Gothic"/>
          <w:color w:val="000000"/>
          <w:sz w:val="23"/>
          <w:szCs w:val="23"/>
          <w:vertAlign w:val="superscript"/>
        </w:rPr>
        <w:t>29</w:t>
      </w:r>
      <w:r>
        <w:rPr>
          <w:rFonts w:ascii="Century Gothic" w:eastAsia="Century Gothic" w:hAnsi="Century Gothic" w:cs="Century Gothic"/>
          <w:color w:val="000000"/>
        </w:rPr>
        <w:t>. “Proporciona un parámetro objetivo que permite resolver los  conflictos en los que están involucrados menores, debiendo tenerse en  consideración aquella solución que les resulte de mayor beneficio”</w:t>
      </w:r>
      <w:r>
        <w:rPr>
          <w:rFonts w:ascii="Century Gothic" w:eastAsia="Century Gothic" w:hAnsi="Century Gothic" w:cs="Century Gothic"/>
          <w:color w:val="000000"/>
          <w:sz w:val="23"/>
          <w:szCs w:val="23"/>
          <w:vertAlign w:val="superscript"/>
        </w:rPr>
        <w:t>30</w:t>
      </w:r>
      <w:r>
        <w:rPr>
          <w:rFonts w:ascii="Century Gothic" w:eastAsia="Century Gothic" w:hAnsi="Century Gothic" w:cs="Century Gothic"/>
          <w:color w:val="000000"/>
        </w:rPr>
        <w:t xml:space="preserve">. </w:t>
      </w:r>
    </w:p>
    <w:p w14:paraId="0000007F" w14:textId="77777777" w:rsidR="00C82B49" w:rsidRDefault="00954538">
      <w:pPr>
        <w:widowControl w:val="0"/>
        <w:pBdr>
          <w:top w:val="nil"/>
          <w:left w:val="nil"/>
          <w:bottom w:val="nil"/>
          <w:right w:val="nil"/>
          <w:between w:val="nil"/>
        </w:pBdr>
        <w:spacing w:before="31" w:line="357" w:lineRule="auto"/>
        <w:ind w:left="17" w:right="1130" w:firstLine="14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el presente caso, no podemos perder de vista que M. ha  referido que vive con su progenitora y que se niega rotundamente a saber que  ese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pueda estar en su casa. No quiere que el bebé esté cerca de ella ni  de su familia.  </w:t>
      </w:r>
    </w:p>
    <w:p w14:paraId="00000080" w14:textId="77777777" w:rsidR="00C82B49" w:rsidRDefault="00954538">
      <w:pPr>
        <w:widowControl w:val="0"/>
        <w:pBdr>
          <w:top w:val="nil"/>
          <w:left w:val="nil"/>
          <w:bottom w:val="nil"/>
          <w:right w:val="nil"/>
          <w:between w:val="nil"/>
        </w:pBdr>
        <w:spacing w:before="30" w:line="356" w:lineRule="auto"/>
        <w:ind w:left="12" w:right="1133" w:firstLine="1417"/>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Sostuvo que “deben valorarse todos los elementos del caso,  dando en guarda y/o acogimiento de manera inmediata a una familia  seleccionada de la lista de aspirantes a guarda con fines adoptivos, tendiente  a evitar los riesgos que acarrearía la permanencia del niño junto a su parte, y  dándole al niño un lugar donde sí lo deseen.” </w:t>
      </w:r>
    </w:p>
    <w:p w14:paraId="00000081" w14:textId="77777777" w:rsidR="00C82B49" w:rsidRDefault="00954538">
      <w:pPr>
        <w:widowControl w:val="0"/>
        <w:pBdr>
          <w:top w:val="nil"/>
          <w:left w:val="nil"/>
          <w:bottom w:val="nil"/>
          <w:right w:val="nil"/>
          <w:between w:val="nil"/>
        </w:pBdr>
        <w:spacing w:before="31" w:line="357" w:lineRule="auto"/>
        <w:ind w:left="12" w:right="1132" w:firstLine="1426"/>
        <w:jc w:val="both"/>
        <w:rPr>
          <w:rFonts w:ascii="Century Gothic" w:eastAsia="Century Gothic" w:hAnsi="Century Gothic" w:cs="Century Gothic"/>
          <w:i/>
          <w:color w:val="000000"/>
        </w:rPr>
      </w:pPr>
      <w:r>
        <w:rPr>
          <w:rFonts w:ascii="Century Gothic" w:eastAsia="Century Gothic" w:hAnsi="Century Gothic" w:cs="Century Gothic"/>
          <w:color w:val="000000"/>
        </w:rPr>
        <w:t xml:space="preserve">Concluye que se le debe garantizar su decisión y –por el otro respetar el interés superior del niño, que en el caso se concreta con la  </w:t>
      </w:r>
      <w:r>
        <w:rPr>
          <w:rFonts w:ascii="Century Gothic" w:eastAsia="Century Gothic" w:hAnsi="Century Gothic" w:cs="Century Gothic"/>
          <w:color w:val="000000"/>
        </w:rPr>
        <w:lastRenderedPageBreak/>
        <w:t>protección y cuidado para integrarlo inmediatamente a una familia que le  brindará el afecto y sustento, que no resulta posible se edifique en el seno de  su familia biológica, asegurando su contención mediante aquellos que  pueden y desean brindarle amor y cariño. Citando sus palabras: “</w:t>
      </w:r>
      <w:r>
        <w:rPr>
          <w:rFonts w:ascii="Century Gothic" w:eastAsia="Century Gothic" w:hAnsi="Century Gothic" w:cs="Century Gothic"/>
          <w:i/>
          <w:color w:val="000000"/>
        </w:rPr>
        <w:t xml:space="preserve">Yo siento  que si hay una familia que lo quiera, yo no lo quiero, nunca lo quise, nunca lo  </w:t>
      </w:r>
    </w:p>
    <w:p w14:paraId="00000082" w14:textId="77777777" w:rsidR="00C82B49" w:rsidRDefault="00954538">
      <w:pPr>
        <w:widowControl w:val="0"/>
        <w:pBdr>
          <w:top w:val="nil"/>
          <w:left w:val="nil"/>
          <w:bottom w:val="nil"/>
          <w:right w:val="nil"/>
          <w:between w:val="nil"/>
        </w:pBdr>
        <w:spacing w:before="166" w:line="240" w:lineRule="auto"/>
        <w:ind w:left="14"/>
        <w:rPr>
          <w:rFonts w:ascii="Calibri" w:eastAsia="Calibri" w:hAnsi="Calibri" w:cs="Calibri"/>
          <w:color w:val="000000"/>
        </w:rPr>
      </w:pPr>
      <w:r>
        <w:rPr>
          <w:rFonts w:ascii="Calibri" w:eastAsia="Calibri" w:hAnsi="Calibri" w:cs="Calibri"/>
          <w:color w:val="000000"/>
          <w:sz w:val="23"/>
          <w:szCs w:val="23"/>
          <w:vertAlign w:val="superscript"/>
        </w:rPr>
        <w:t xml:space="preserve">29 </w:t>
      </w:r>
      <w:r>
        <w:rPr>
          <w:rFonts w:ascii="Calibri" w:eastAsia="Calibri" w:hAnsi="Calibri" w:cs="Calibri"/>
          <w:color w:val="000000"/>
        </w:rPr>
        <w:t xml:space="preserve">CSJN. Fallos: 330:167 </w:t>
      </w:r>
    </w:p>
    <w:p w14:paraId="00000083" w14:textId="77777777" w:rsidR="00C82B49" w:rsidRDefault="00954538">
      <w:pPr>
        <w:widowControl w:val="0"/>
        <w:pBdr>
          <w:top w:val="nil"/>
          <w:left w:val="nil"/>
          <w:bottom w:val="nil"/>
          <w:right w:val="nil"/>
          <w:between w:val="nil"/>
        </w:pBdr>
        <w:spacing w:before="13" w:line="240" w:lineRule="auto"/>
        <w:ind w:left="13"/>
        <w:rPr>
          <w:rFonts w:ascii="Calibri" w:eastAsia="Calibri" w:hAnsi="Calibri" w:cs="Calibri"/>
          <w:color w:val="000000"/>
        </w:rPr>
      </w:pPr>
      <w:r>
        <w:rPr>
          <w:rFonts w:ascii="Calibri" w:eastAsia="Calibri" w:hAnsi="Calibri" w:cs="Calibri"/>
          <w:color w:val="000000"/>
          <w:sz w:val="23"/>
          <w:szCs w:val="23"/>
          <w:vertAlign w:val="superscript"/>
        </w:rPr>
        <w:t xml:space="preserve">30 </w:t>
      </w:r>
      <w:r>
        <w:rPr>
          <w:rFonts w:ascii="Calibri" w:eastAsia="Calibri" w:hAnsi="Calibri" w:cs="Calibri"/>
          <w:color w:val="000000"/>
        </w:rPr>
        <w:t>Fallos: 324:975</w:t>
      </w:r>
    </w:p>
    <w:p w14:paraId="00000084" w14:textId="77777777" w:rsidR="00C82B49" w:rsidRDefault="00954538">
      <w:pPr>
        <w:widowControl w:val="0"/>
        <w:pBdr>
          <w:top w:val="nil"/>
          <w:left w:val="nil"/>
          <w:bottom w:val="nil"/>
          <w:right w:val="nil"/>
          <w:between w:val="nil"/>
        </w:pBdr>
        <w:spacing w:line="357" w:lineRule="auto"/>
        <w:ind w:left="1138" w:right="-4" w:firstLine="9"/>
        <w:jc w:val="both"/>
        <w:rPr>
          <w:rFonts w:ascii="Century Gothic" w:eastAsia="Century Gothic" w:hAnsi="Century Gothic" w:cs="Century Gothic"/>
          <w:color w:val="000000"/>
        </w:rPr>
      </w:pPr>
      <w:r>
        <w:rPr>
          <w:rFonts w:ascii="Century Gothic" w:eastAsia="Century Gothic" w:hAnsi="Century Gothic" w:cs="Century Gothic"/>
          <w:i/>
          <w:color w:val="000000"/>
        </w:rPr>
        <w:t>busqué, quise interrumpir el embarazo y no pude. Que otra familia pueda dale  afectiva y económicamente lo que yo no puedo darle hoy. En mi casa no va a  ser un bebé querido, yo prefiero mil veces la adopción. Quiero que ese bebé  tenga una vida mejor, le van a dar todo el amor incondicional que yo no le  puedo dar, una escolaridad, un cumpleaños. Nadie de mi familia va a hacerlo,  y yo no puedo</w:t>
      </w:r>
      <w:r>
        <w:rPr>
          <w:rFonts w:ascii="Century Gothic" w:eastAsia="Century Gothic" w:hAnsi="Century Gothic" w:cs="Century Gothic"/>
          <w:color w:val="000000"/>
        </w:rPr>
        <w:t xml:space="preserve">.”. </w:t>
      </w:r>
    </w:p>
    <w:p w14:paraId="00000085" w14:textId="77777777" w:rsidR="00C82B49" w:rsidRDefault="00954538">
      <w:pPr>
        <w:widowControl w:val="0"/>
        <w:pBdr>
          <w:top w:val="nil"/>
          <w:left w:val="nil"/>
          <w:bottom w:val="nil"/>
          <w:right w:val="nil"/>
          <w:between w:val="nil"/>
        </w:pBdr>
        <w:spacing w:before="25" w:line="358" w:lineRule="auto"/>
        <w:ind w:left="1153" w:firstLine="14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Para evacuar este punto, invito a proyectar lo que sucedería si  resolviésemos desoyendo el pedido de M. e indagando en su familia de  origen.  </w:t>
      </w:r>
    </w:p>
    <w:p w14:paraId="00000086" w14:textId="77777777" w:rsidR="00C82B49" w:rsidRDefault="00954538">
      <w:pPr>
        <w:widowControl w:val="0"/>
        <w:pBdr>
          <w:top w:val="nil"/>
          <w:left w:val="nil"/>
          <w:bottom w:val="nil"/>
          <w:right w:val="nil"/>
          <w:between w:val="nil"/>
        </w:pBdr>
        <w:spacing w:before="24" w:line="357" w:lineRule="auto"/>
        <w:ind w:left="1147"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No podemos iniciar el análisis presumiendo que, con el solo  hecho de indagar, buscar, informar, proponer y trabajar con su familia de  origen, ya nos encontraríamos en condiciones certeras de otorgar el cuidado  del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a algún integrante de su familia. Pues claro, ello debe prevalecer  siempre y cuando dicha decisión sea respetuosa de su interés superior.  </w:t>
      </w:r>
    </w:p>
    <w:p w14:paraId="00000087" w14:textId="77777777" w:rsidR="00C82B49" w:rsidRDefault="00954538">
      <w:pPr>
        <w:widowControl w:val="0"/>
        <w:pBdr>
          <w:top w:val="nil"/>
          <w:left w:val="nil"/>
          <w:bottom w:val="nil"/>
          <w:right w:val="nil"/>
          <w:between w:val="nil"/>
        </w:pBdr>
        <w:spacing w:before="25" w:line="240" w:lineRule="auto"/>
        <w:ind w:right="1082"/>
        <w:jc w:val="right"/>
        <w:rPr>
          <w:rFonts w:ascii="Century Gothic" w:eastAsia="Century Gothic" w:hAnsi="Century Gothic" w:cs="Century Gothic"/>
          <w:color w:val="000000"/>
        </w:rPr>
      </w:pPr>
      <w:r>
        <w:rPr>
          <w:rFonts w:ascii="Century Gothic" w:eastAsia="Century Gothic" w:hAnsi="Century Gothic" w:cs="Century Gothic"/>
          <w:color w:val="000000"/>
        </w:rPr>
        <w:t xml:space="preserve">¿Qué implicaría indagar en dicha potencial posibilidad? </w:t>
      </w:r>
    </w:p>
    <w:p w14:paraId="00000088" w14:textId="77777777" w:rsidR="00C82B49" w:rsidRDefault="00954538">
      <w:pPr>
        <w:widowControl w:val="0"/>
        <w:pBdr>
          <w:top w:val="nil"/>
          <w:left w:val="nil"/>
          <w:bottom w:val="nil"/>
          <w:right w:val="nil"/>
          <w:between w:val="nil"/>
        </w:pBdr>
        <w:spacing w:before="138" w:line="356" w:lineRule="auto"/>
        <w:ind w:left="1153" w:firstLine="14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Pues para ello sí debemos partir de la base que estaríamos frente  a una intromisión Estatal en los deseos de M., yendo en contra de su voluntad  manifiesta.  </w:t>
      </w:r>
    </w:p>
    <w:p w14:paraId="00000089" w14:textId="77777777" w:rsidR="00C82B49" w:rsidRDefault="00954538">
      <w:pPr>
        <w:widowControl w:val="0"/>
        <w:pBdr>
          <w:top w:val="nil"/>
          <w:left w:val="nil"/>
          <w:bottom w:val="nil"/>
          <w:right w:val="nil"/>
          <w:between w:val="nil"/>
        </w:pBdr>
        <w:spacing w:before="31" w:line="357" w:lineRule="auto"/>
        <w:ind w:left="1147" w:right="-3" w:firstLine="1420"/>
        <w:jc w:val="both"/>
        <w:rPr>
          <w:rFonts w:ascii="Century Gothic" w:eastAsia="Century Gothic" w:hAnsi="Century Gothic" w:cs="Century Gothic"/>
          <w:color w:val="000000"/>
        </w:rPr>
      </w:pPr>
      <w:r>
        <w:rPr>
          <w:rFonts w:ascii="Century Gothic" w:eastAsia="Century Gothic" w:hAnsi="Century Gothic" w:cs="Century Gothic"/>
          <w:color w:val="000000"/>
        </w:rPr>
        <w:t>A</w:t>
      </w:r>
      <w:r>
        <w:rPr>
          <w:rFonts w:ascii="Century Gothic" w:eastAsia="Century Gothic" w:hAnsi="Century Gothic" w:cs="Century Gothic"/>
          <w:color w:val="000000"/>
          <w:highlight w:val="cyan"/>
        </w:rPr>
        <w:t xml:space="preserve"> su vez, estaríamos quebrantando definitivamente la paz e  intimidad familiar, pues en base a su deseo, M. no le ha comunicado a nadie  de su familia -ni </w:t>
      </w:r>
      <w:proofErr w:type="spellStart"/>
      <w:r>
        <w:rPr>
          <w:rFonts w:ascii="Century Gothic" w:eastAsia="Century Gothic" w:hAnsi="Century Gothic" w:cs="Century Gothic"/>
          <w:color w:val="000000"/>
          <w:highlight w:val="cyan"/>
        </w:rPr>
        <w:t>amigxs</w:t>
      </w:r>
      <w:proofErr w:type="spellEnd"/>
      <w:r>
        <w:rPr>
          <w:rFonts w:ascii="Century Gothic" w:eastAsia="Century Gothic" w:hAnsi="Century Gothic" w:cs="Century Gothic"/>
          <w:color w:val="000000"/>
          <w:highlight w:val="cyan"/>
        </w:rPr>
        <w:t>- sobre su embarazo.</w:t>
      </w:r>
      <w:r>
        <w:rPr>
          <w:rFonts w:ascii="Century Gothic" w:eastAsia="Century Gothic" w:hAnsi="Century Gothic" w:cs="Century Gothic"/>
          <w:color w:val="000000"/>
        </w:rPr>
        <w:t xml:space="preserve"> Con tan solo imaginar lo que  sucedería si fuese el Estado quien comunique dicha circunstancia, no merece  mayor análisis el impacto negativo que ello produciría.  </w:t>
      </w:r>
    </w:p>
    <w:p w14:paraId="0000008A" w14:textId="77777777" w:rsidR="00C82B49" w:rsidRDefault="00954538">
      <w:pPr>
        <w:widowControl w:val="0"/>
        <w:pBdr>
          <w:top w:val="nil"/>
          <w:left w:val="nil"/>
          <w:bottom w:val="nil"/>
          <w:right w:val="nil"/>
          <w:between w:val="nil"/>
        </w:pBdr>
        <w:spacing w:before="25" w:line="357" w:lineRule="auto"/>
        <w:ind w:left="1153" w:right="-4" w:firstLine="1428"/>
        <w:jc w:val="both"/>
        <w:rPr>
          <w:rFonts w:ascii="Century Gothic" w:eastAsia="Century Gothic" w:hAnsi="Century Gothic" w:cs="Century Gothic"/>
          <w:color w:val="000000"/>
          <w:highlight w:val="cyan"/>
        </w:rPr>
      </w:pPr>
      <w:r>
        <w:rPr>
          <w:rFonts w:ascii="Century Gothic" w:eastAsia="Century Gothic" w:hAnsi="Century Gothic" w:cs="Century Gothic"/>
          <w:color w:val="000000"/>
        </w:rPr>
        <w:t xml:space="preserve">No podemos perder de vista que la familia vive actualmente en  la localidad de </w:t>
      </w:r>
      <w:proofErr w:type="spellStart"/>
      <w:r>
        <w:rPr>
          <w:rFonts w:ascii="Century Gothic" w:eastAsia="Century Gothic" w:hAnsi="Century Gothic" w:cs="Century Gothic"/>
          <w:color w:val="000000"/>
        </w:rPr>
        <w:t>Añelo</w:t>
      </w:r>
      <w:proofErr w:type="spellEnd"/>
      <w:r>
        <w:rPr>
          <w:rFonts w:ascii="Century Gothic" w:eastAsia="Century Gothic" w:hAnsi="Century Gothic" w:cs="Century Gothic"/>
          <w:color w:val="000000"/>
        </w:rPr>
        <w:t xml:space="preserve">, de no más de 3000 habitantes, y junto con su  progenitora. </w:t>
      </w:r>
      <w:r>
        <w:rPr>
          <w:rFonts w:ascii="Century Gothic" w:eastAsia="Century Gothic" w:hAnsi="Century Gothic" w:cs="Century Gothic"/>
          <w:color w:val="000000"/>
          <w:highlight w:val="cyan"/>
        </w:rPr>
        <w:t xml:space="preserve">¿No estaríamos obligándola -directa o indirectamente- a  </w:t>
      </w:r>
      <w:proofErr w:type="spellStart"/>
      <w:r>
        <w:rPr>
          <w:rFonts w:ascii="Century Gothic" w:eastAsia="Century Gothic" w:hAnsi="Century Gothic" w:cs="Century Gothic"/>
          <w:color w:val="000000"/>
          <w:highlight w:val="cyan"/>
        </w:rPr>
        <w:t>maternar</w:t>
      </w:r>
      <w:proofErr w:type="spellEnd"/>
      <w:r>
        <w:rPr>
          <w:rFonts w:ascii="Century Gothic" w:eastAsia="Century Gothic" w:hAnsi="Century Gothic" w:cs="Century Gothic"/>
          <w:color w:val="000000"/>
          <w:highlight w:val="cyan"/>
        </w:rPr>
        <w:t xml:space="preserve">? ¿cómo </w:t>
      </w:r>
      <w:r>
        <w:rPr>
          <w:rFonts w:ascii="Century Gothic" w:eastAsia="Century Gothic" w:hAnsi="Century Gothic" w:cs="Century Gothic"/>
          <w:color w:val="000000"/>
          <w:highlight w:val="cyan"/>
        </w:rPr>
        <w:lastRenderedPageBreak/>
        <w:t xml:space="preserve">seguiría la vida de M. frente a sus </w:t>
      </w:r>
      <w:proofErr w:type="spellStart"/>
      <w:r>
        <w:rPr>
          <w:rFonts w:ascii="Century Gothic" w:eastAsia="Century Gothic" w:hAnsi="Century Gothic" w:cs="Century Gothic"/>
          <w:color w:val="000000"/>
          <w:highlight w:val="cyan"/>
        </w:rPr>
        <w:t>amigxs</w:t>
      </w:r>
      <w:proofErr w:type="spellEnd"/>
      <w:r>
        <w:rPr>
          <w:rFonts w:ascii="Century Gothic" w:eastAsia="Century Gothic" w:hAnsi="Century Gothic" w:cs="Century Gothic"/>
          <w:color w:val="000000"/>
          <w:highlight w:val="cyan"/>
        </w:rPr>
        <w:t xml:space="preserve"> y familia frente a  dicha situación?  </w:t>
      </w:r>
    </w:p>
    <w:p w14:paraId="0000008B" w14:textId="77777777" w:rsidR="00C82B49" w:rsidRDefault="00954538">
      <w:pPr>
        <w:widowControl w:val="0"/>
        <w:pBdr>
          <w:top w:val="nil"/>
          <w:left w:val="nil"/>
          <w:bottom w:val="nil"/>
          <w:right w:val="nil"/>
          <w:between w:val="nil"/>
        </w:pBdr>
        <w:spacing w:before="25" w:line="358" w:lineRule="auto"/>
        <w:ind w:left="1153" w:right="5" w:firstLine="1428"/>
        <w:rPr>
          <w:rFonts w:ascii="Century Gothic" w:eastAsia="Century Gothic" w:hAnsi="Century Gothic" w:cs="Century Gothic"/>
          <w:color w:val="000000"/>
          <w:highlight w:val="cyan"/>
        </w:rPr>
      </w:pPr>
      <w:r>
        <w:rPr>
          <w:rFonts w:ascii="Century Gothic" w:eastAsia="Century Gothic" w:hAnsi="Century Gothic" w:cs="Century Gothic"/>
          <w:color w:val="000000"/>
        </w:rPr>
        <w:t>¿</w:t>
      </w:r>
      <w:r>
        <w:rPr>
          <w:rFonts w:ascii="Century Gothic" w:eastAsia="Century Gothic" w:hAnsi="Century Gothic" w:cs="Century Gothic"/>
          <w:color w:val="000000"/>
          <w:highlight w:val="cyan"/>
        </w:rPr>
        <w:t xml:space="preserve">Podría el </w:t>
      </w:r>
      <w:proofErr w:type="spellStart"/>
      <w:r>
        <w:rPr>
          <w:rFonts w:ascii="Century Gothic" w:eastAsia="Century Gothic" w:hAnsi="Century Gothic" w:cs="Century Gothic"/>
          <w:color w:val="000000"/>
          <w:highlight w:val="cyan"/>
        </w:rPr>
        <w:t>niñx</w:t>
      </w:r>
      <w:proofErr w:type="spellEnd"/>
      <w:r>
        <w:rPr>
          <w:rFonts w:ascii="Century Gothic" w:eastAsia="Century Gothic" w:hAnsi="Century Gothic" w:cs="Century Gothic"/>
          <w:color w:val="000000"/>
          <w:highlight w:val="cyan"/>
        </w:rPr>
        <w:t xml:space="preserve"> desarrollarse en un ambiente sano en el marco de  dichas circunstancias? Considero definitivamente que no.  </w:t>
      </w:r>
    </w:p>
    <w:p w14:paraId="0000008C" w14:textId="77777777" w:rsidR="00C82B49" w:rsidRDefault="00954538">
      <w:pPr>
        <w:widowControl w:val="0"/>
        <w:pBdr>
          <w:top w:val="nil"/>
          <w:left w:val="nil"/>
          <w:bottom w:val="nil"/>
          <w:right w:val="nil"/>
          <w:between w:val="nil"/>
        </w:pBdr>
        <w:spacing w:before="29" w:line="354" w:lineRule="auto"/>
        <w:ind w:left="1147" w:firstLine="1434"/>
        <w:rPr>
          <w:rFonts w:ascii="Century Gothic" w:eastAsia="Century Gothic" w:hAnsi="Century Gothic" w:cs="Century Gothic"/>
          <w:color w:val="000000"/>
          <w:highlight w:val="cyan"/>
        </w:rPr>
      </w:pPr>
      <w:r>
        <w:rPr>
          <w:rFonts w:ascii="Century Gothic" w:eastAsia="Century Gothic" w:hAnsi="Century Gothic" w:cs="Century Gothic"/>
          <w:color w:val="000000"/>
          <w:highlight w:val="cyan"/>
        </w:rPr>
        <w:t xml:space="preserve">¿Quién mejor que M. para determinar si el desarrollo del </w:t>
      </w:r>
      <w:proofErr w:type="spellStart"/>
      <w:r>
        <w:rPr>
          <w:rFonts w:ascii="Century Gothic" w:eastAsia="Century Gothic" w:hAnsi="Century Gothic" w:cs="Century Gothic"/>
          <w:color w:val="000000"/>
          <w:highlight w:val="cyan"/>
        </w:rPr>
        <w:t>niñx</w:t>
      </w:r>
      <w:proofErr w:type="spellEnd"/>
      <w:r>
        <w:rPr>
          <w:rFonts w:ascii="Century Gothic" w:eastAsia="Century Gothic" w:hAnsi="Century Gothic" w:cs="Century Gothic"/>
          <w:color w:val="000000"/>
          <w:highlight w:val="cyan"/>
        </w:rPr>
        <w:t xml:space="preserve"> en el  seno de su familia redundaría en su mayor beneficio?</w:t>
      </w:r>
    </w:p>
    <w:p w14:paraId="0000008D" w14:textId="77777777" w:rsidR="00C82B49" w:rsidRDefault="00954538">
      <w:pPr>
        <w:widowControl w:val="0"/>
        <w:pBdr>
          <w:top w:val="nil"/>
          <w:left w:val="nil"/>
          <w:bottom w:val="nil"/>
          <w:right w:val="nil"/>
          <w:between w:val="nil"/>
        </w:pBdr>
        <w:spacing w:line="357" w:lineRule="auto"/>
        <w:ind w:left="17" w:right="1133" w:firstLine="142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Coincido plenamente en lo dictaminado por la Defensora de los  Derechos del Niño y el Adolescente en cuanto a que otorgar a un </w:t>
      </w:r>
      <w:proofErr w:type="spellStart"/>
      <w:r>
        <w:rPr>
          <w:rFonts w:ascii="Century Gothic" w:eastAsia="Century Gothic" w:hAnsi="Century Gothic" w:cs="Century Gothic"/>
          <w:color w:val="000000"/>
        </w:rPr>
        <w:t>hijx</w:t>
      </w:r>
      <w:proofErr w:type="spellEnd"/>
      <w:r>
        <w:rPr>
          <w:rFonts w:ascii="Century Gothic" w:eastAsia="Century Gothic" w:hAnsi="Century Gothic" w:cs="Century Gothic"/>
          <w:color w:val="000000"/>
        </w:rPr>
        <w:t xml:space="preserve"> en  adopción es una clara demostración de amor, pues busca dar una solución  ecuánime al deseo de </w:t>
      </w:r>
      <w:proofErr w:type="spellStart"/>
      <w:r>
        <w:rPr>
          <w:rFonts w:ascii="Century Gothic" w:eastAsia="Century Gothic" w:hAnsi="Century Gothic" w:cs="Century Gothic"/>
          <w:color w:val="000000"/>
        </w:rPr>
        <w:t>lxs</w:t>
      </w:r>
      <w:proofErr w:type="spellEnd"/>
      <w:r>
        <w:rPr>
          <w:rFonts w:ascii="Century Gothic" w:eastAsia="Century Gothic" w:hAnsi="Century Gothic" w:cs="Century Gothic"/>
          <w:color w:val="000000"/>
        </w:rPr>
        <w:t xml:space="preserve"> progenitores de decidir libremente sobre su proyecto  de vida y, por el otro lado, el brindar a los niños, niñas y adolescentes la  protección y derecho que merecen a vivir y desarrollarse en una familia que le  procure los cuidados tendientes a satisfacer sus necesidades afectivas y  materiales (art. 594 del C.C.C.N.). </w:t>
      </w:r>
    </w:p>
    <w:p w14:paraId="0000008E" w14:textId="77777777" w:rsidR="00C82B49" w:rsidRDefault="00954538">
      <w:pPr>
        <w:widowControl w:val="0"/>
        <w:pBdr>
          <w:top w:val="nil"/>
          <w:left w:val="nil"/>
          <w:bottom w:val="nil"/>
          <w:right w:val="nil"/>
          <w:between w:val="nil"/>
        </w:pBdr>
        <w:spacing w:before="30" w:line="357" w:lineRule="auto"/>
        <w:ind w:left="17" w:right="1135" w:firstLine="1428"/>
        <w:rPr>
          <w:rFonts w:ascii="Century Gothic" w:eastAsia="Century Gothic" w:hAnsi="Century Gothic" w:cs="Century Gothic"/>
          <w:color w:val="000000"/>
          <w:sz w:val="14"/>
          <w:szCs w:val="14"/>
        </w:rPr>
      </w:pPr>
      <w:r>
        <w:rPr>
          <w:rFonts w:ascii="Century Gothic" w:eastAsia="Century Gothic" w:hAnsi="Century Gothic" w:cs="Century Gothic"/>
          <w:color w:val="000000"/>
          <w:highlight w:val="white"/>
        </w:rPr>
        <w:t xml:space="preserve">No podemos omitir que es la propia Convención de los Derechos </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 xml:space="preserve">del Niño la que nos impone que nada de lo dispuesto en su cuerpo normativo </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puede afectar a las disposiciones que sean más conducentes a la realización</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 xml:space="preserve">de los derechos del niño y que puedan estar recogidas en el derecho de un </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 xml:space="preserve">estado parte o bien en el derecho internacional vigente con respecto a dicho </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Estado.</w:t>
      </w:r>
      <w:r>
        <w:rPr>
          <w:rFonts w:ascii="Century Gothic" w:eastAsia="Century Gothic" w:hAnsi="Century Gothic" w:cs="Century Gothic"/>
          <w:color w:val="000000"/>
          <w:sz w:val="23"/>
          <w:szCs w:val="23"/>
          <w:vertAlign w:val="superscript"/>
        </w:rPr>
        <w:t>31</w:t>
      </w:r>
      <w:r>
        <w:rPr>
          <w:rFonts w:ascii="Century Gothic" w:eastAsia="Century Gothic" w:hAnsi="Century Gothic" w:cs="Century Gothic"/>
          <w:color w:val="000000"/>
          <w:sz w:val="14"/>
          <w:szCs w:val="14"/>
        </w:rPr>
        <w:t xml:space="preserve"> </w:t>
      </w:r>
    </w:p>
    <w:p w14:paraId="0000008F" w14:textId="77777777" w:rsidR="00C82B49" w:rsidRDefault="00954538">
      <w:pPr>
        <w:widowControl w:val="0"/>
        <w:pBdr>
          <w:top w:val="nil"/>
          <w:left w:val="nil"/>
          <w:bottom w:val="nil"/>
          <w:right w:val="nil"/>
          <w:between w:val="nil"/>
        </w:pBdr>
        <w:spacing w:before="25" w:line="358" w:lineRule="auto"/>
        <w:ind w:left="23" w:right="1141" w:firstLine="1422"/>
        <w:rPr>
          <w:rFonts w:ascii="Century Gothic" w:eastAsia="Century Gothic" w:hAnsi="Century Gothic" w:cs="Century Gothic"/>
          <w:color w:val="000000"/>
        </w:rPr>
      </w:pPr>
      <w:r>
        <w:rPr>
          <w:rFonts w:ascii="Century Gothic" w:eastAsia="Century Gothic" w:hAnsi="Century Gothic" w:cs="Century Gothic"/>
          <w:color w:val="000000"/>
          <w:highlight w:val="white"/>
        </w:rPr>
        <w:t xml:space="preserve">Es por ello que entiendo que la resolución adoptada en el </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white"/>
        </w:rPr>
        <w:t xml:space="preserve">presente caso, es la más respetuosa del interés superior del </w:t>
      </w:r>
      <w:proofErr w:type="spellStart"/>
      <w:r>
        <w:rPr>
          <w:rFonts w:ascii="Century Gothic" w:eastAsia="Century Gothic" w:hAnsi="Century Gothic" w:cs="Century Gothic"/>
          <w:color w:val="000000"/>
          <w:highlight w:val="white"/>
        </w:rPr>
        <w:t>niñx</w:t>
      </w:r>
      <w:proofErr w:type="spellEnd"/>
      <w:r>
        <w:rPr>
          <w:rFonts w:ascii="Century Gothic" w:eastAsia="Century Gothic" w:hAnsi="Century Gothic" w:cs="Century Gothic"/>
          <w:color w:val="000000"/>
          <w:highlight w:val="white"/>
        </w:rPr>
        <w:t>.</w:t>
      </w:r>
      <w:r>
        <w:rPr>
          <w:rFonts w:ascii="Century Gothic" w:eastAsia="Century Gothic" w:hAnsi="Century Gothic" w:cs="Century Gothic"/>
          <w:color w:val="000000"/>
        </w:rPr>
        <w:t xml:space="preserve"> </w:t>
      </w:r>
    </w:p>
    <w:p w14:paraId="00000090" w14:textId="77777777" w:rsidR="00C82B49" w:rsidRDefault="00954538">
      <w:pPr>
        <w:widowControl w:val="0"/>
        <w:pBdr>
          <w:top w:val="nil"/>
          <w:left w:val="nil"/>
          <w:bottom w:val="nil"/>
          <w:right w:val="nil"/>
          <w:between w:val="nil"/>
        </w:pBdr>
        <w:spacing w:before="434" w:line="363" w:lineRule="auto"/>
        <w:ind w:left="8" w:right="1132" w:firstLine="4"/>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3) La prohibición de declarar el Estado de </w:t>
      </w:r>
      <w:proofErr w:type="spellStart"/>
      <w:r>
        <w:rPr>
          <w:rFonts w:ascii="Century Gothic" w:eastAsia="Century Gothic" w:hAnsi="Century Gothic" w:cs="Century Gothic"/>
          <w:b/>
          <w:color w:val="000000"/>
        </w:rPr>
        <w:t>adoptabilidad</w:t>
      </w:r>
      <w:proofErr w:type="spellEnd"/>
      <w:r>
        <w:rPr>
          <w:rFonts w:ascii="Century Gothic" w:eastAsia="Century Gothic" w:hAnsi="Century Gothic" w:cs="Century Gothic"/>
          <w:b/>
          <w:color w:val="000000"/>
        </w:rPr>
        <w:t xml:space="preserve"> antes del  vencimiento de los 45 días de producido el nacimiento ¿debe interpretarse en  términos absolutos? </w:t>
      </w:r>
    </w:p>
    <w:p w14:paraId="00000091" w14:textId="77777777" w:rsidR="00C82B49" w:rsidRDefault="00954538">
      <w:pPr>
        <w:widowControl w:val="0"/>
        <w:pBdr>
          <w:top w:val="nil"/>
          <w:left w:val="nil"/>
          <w:bottom w:val="nil"/>
          <w:right w:val="nil"/>
          <w:between w:val="nil"/>
        </w:pBdr>
        <w:spacing w:before="424" w:line="356" w:lineRule="auto"/>
        <w:ind w:left="17" w:right="1132" w:firstLine="1412"/>
        <w:jc w:val="both"/>
        <w:rPr>
          <w:rFonts w:ascii="Century Gothic" w:eastAsia="Century Gothic" w:hAnsi="Century Gothic" w:cs="Century Gothic"/>
          <w:color w:val="000000"/>
        </w:rPr>
      </w:pPr>
      <w:r w:rsidRPr="00F156C4">
        <w:rPr>
          <w:rFonts w:ascii="Century Gothic" w:eastAsia="Century Gothic" w:hAnsi="Century Gothic" w:cs="Century Gothic"/>
          <w:color w:val="000000"/>
          <w:highlight w:val="yellow"/>
        </w:rPr>
        <w:t>Sin perjuicio de que, una vez firme esta sentencia, este planteo  devendrá abstracto como consecuencia de los pasos procesales que no  podemos omitir, considero no puedo dejar de pronunciarme sobre el pedido  expreso de M. en relación a su deseo de no aguardar el tiempo previsto por  nuestra norma.</w:t>
      </w:r>
      <w:r>
        <w:rPr>
          <w:rFonts w:ascii="Century Gothic" w:eastAsia="Century Gothic" w:hAnsi="Century Gothic" w:cs="Century Gothic"/>
          <w:color w:val="000000"/>
        </w:rPr>
        <w:t xml:space="preserve">  </w:t>
      </w:r>
    </w:p>
    <w:p w14:paraId="00000092" w14:textId="77777777" w:rsidR="00C82B49" w:rsidRDefault="00954538">
      <w:pPr>
        <w:widowControl w:val="0"/>
        <w:pBdr>
          <w:top w:val="nil"/>
          <w:left w:val="nil"/>
          <w:bottom w:val="nil"/>
          <w:right w:val="nil"/>
          <w:between w:val="nil"/>
        </w:pBdr>
        <w:spacing w:before="31" w:line="356" w:lineRule="auto"/>
        <w:ind w:left="18" w:right="1132" w:firstLine="1411"/>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Se advierte que su principal argumento en este sentido ha sido  que, si se desoyera su planteo, se la estaría forzando a </w:t>
      </w:r>
      <w:proofErr w:type="spellStart"/>
      <w:r>
        <w:rPr>
          <w:rFonts w:ascii="Century Gothic" w:eastAsia="Century Gothic" w:hAnsi="Century Gothic" w:cs="Century Gothic"/>
          <w:color w:val="000000"/>
        </w:rPr>
        <w:t>maternar</w:t>
      </w:r>
      <w:proofErr w:type="spellEnd"/>
      <w:r>
        <w:rPr>
          <w:rFonts w:ascii="Century Gothic" w:eastAsia="Century Gothic" w:hAnsi="Century Gothic" w:cs="Century Gothic"/>
          <w:color w:val="000000"/>
        </w:rPr>
        <w:t xml:space="preserve">, obligando a  un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a permanecer junto a otra persona contra su voluntad. </w:t>
      </w:r>
    </w:p>
    <w:p w14:paraId="00000093" w14:textId="77777777" w:rsidR="00C82B49" w:rsidRDefault="00954538">
      <w:pPr>
        <w:widowControl w:val="0"/>
        <w:pBdr>
          <w:top w:val="nil"/>
          <w:left w:val="nil"/>
          <w:bottom w:val="nil"/>
          <w:right w:val="nil"/>
          <w:between w:val="nil"/>
        </w:pBdr>
        <w:spacing w:before="31" w:line="358" w:lineRule="auto"/>
        <w:ind w:left="17" w:right="1132" w:firstLine="1428"/>
        <w:rPr>
          <w:rFonts w:ascii="Century Gothic" w:eastAsia="Century Gothic" w:hAnsi="Century Gothic" w:cs="Century Gothic"/>
          <w:color w:val="000000"/>
        </w:rPr>
      </w:pPr>
      <w:r>
        <w:rPr>
          <w:rFonts w:ascii="Century Gothic" w:eastAsia="Century Gothic" w:hAnsi="Century Gothic" w:cs="Century Gothic"/>
          <w:color w:val="000000"/>
        </w:rPr>
        <w:t xml:space="preserve">Ello en modo alguno puede suceder, pues el plazo establecido  en el art. 607 inc. b) no puede nunca implicar la obligación en la progenitora  </w:t>
      </w:r>
    </w:p>
    <w:p w14:paraId="00000094" w14:textId="77777777" w:rsidR="00C82B49" w:rsidRDefault="00954538">
      <w:pPr>
        <w:widowControl w:val="0"/>
        <w:pBdr>
          <w:top w:val="nil"/>
          <w:left w:val="nil"/>
          <w:bottom w:val="nil"/>
          <w:right w:val="nil"/>
          <w:between w:val="nil"/>
        </w:pBdr>
        <w:spacing w:before="399" w:line="240" w:lineRule="auto"/>
        <w:ind w:left="13"/>
        <w:rPr>
          <w:rFonts w:ascii="Calibri" w:eastAsia="Calibri" w:hAnsi="Calibri" w:cs="Calibri"/>
          <w:color w:val="000000"/>
        </w:rPr>
      </w:pPr>
      <w:r>
        <w:rPr>
          <w:rFonts w:ascii="Calibri" w:eastAsia="Calibri" w:hAnsi="Calibri" w:cs="Calibri"/>
          <w:color w:val="000000"/>
          <w:sz w:val="23"/>
          <w:szCs w:val="23"/>
          <w:vertAlign w:val="superscript"/>
        </w:rPr>
        <w:t xml:space="preserve">31 </w:t>
      </w:r>
      <w:r>
        <w:rPr>
          <w:rFonts w:ascii="Calibri" w:eastAsia="Calibri" w:hAnsi="Calibri" w:cs="Calibri"/>
          <w:color w:val="000000"/>
        </w:rPr>
        <w:t>Art. 41.</w:t>
      </w:r>
    </w:p>
    <w:p w14:paraId="00000095" w14:textId="77777777" w:rsidR="00C82B49" w:rsidRDefault="00954538">
      <w:pPr>
        <w:widowControl w:val="0"/>
        <w:pBdr>
          <w:top w:val="nil"/>
          <w:left w:val="nil"/>
          <w:bottom w:val="nil"/>
          <w:right w:val="nil"/>
          <w:between w:val="nil"/>
        </w:pBdr>
        <w:spacing w:line="356" w:lineRule="auto"/>
        <w:ind w:left="1147" w:right="-3" w:firstLine="5"/>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permanecer junto al </w:t>
      </w:r>
      <w:proofErr w:type="spellStart"/>
      <w:r>
        <w:rPr>
          <w:rFonts w:ascii="Century Gothic" w:eastAsia="Century Gothic" w:hAnsi="Century Gothic" w:cs="Century Gothic"/>
          <w:color w:val="000000"/>
        </w:rPr>
        <w:t>niñx</w:t>
      </w:r>
      <w:proofErr w:type="spellEnd"/>
      <w:r>
        <w:rPr>
          <w:rFonts w:ascii="Century Gothic" w:eastAsia="Century Gothic" w:hAnsi="Century Gothic" w:cs="Century Gothic"/>
          <w:color w:val="000000"/>
        </w:rPr>
        <w:t xml:space="preserve"> hasta tanto el tiempo sea cumplido. Como ha  sucedido en este caso, inmediatamente luego de haberse producido el  nacimiento, el </w:t>
      </w:r>
      <w:proofErr w:type="spellStart"/>
      <w:r>
        <w:rPr>
          <w:rFonts w:ascii="Century Gothic" w:eastAsia="Century Gothic" w:hAnsi="Century Gothic" w:cs="Century Gothic"/>
          <w:color w:val="000000"/>
        </w:rPr>
        <w:t>niiñx</w:t>
      </w:r>
      <w:proofErr w:type="spellEnd"/>
      <w:r>
        <w:rPr>
          <w:rFonts w:ascii="Century Gothic" w:eastAsia="Century Gothic" w:hAnsi="Century Gothic" w:cs="Century Gothic"/>
          <w:color w:val="000000"/>
        </w:rPr>
        <w:t xml:space="preserve"> ingresa a una “familia solidaria” perteneciente al Ministerio  de Desarrollo Social, hasta tanto su situación jurídica sea resuelta.  </w:t>
      </w:r>
    </w:p>
    <w:p w14:paraId="00000096" w14:textId="77777777" w:rsidR="00C82B49" w:rsidRDefault="00954538">
      <w:pPr>
        <w:widowControl w:val="0"/>
        <w:pBdr>
          <w:top w:val="nil"/>
          <w:left w:val="nil"/>
          <w:bottom w:val="nil"/>
          <w:right w:val="nil"/>
          <w:between w:val="nil"/>
        </w:pBdr>
        <w:spacing w:before="31" w:line="356" w:lineRule="auto"/>
        <w:ind w:left="1153" w:right="6" w:firstLine="14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recaudo del tiempo se vincula con los desajustes emocionales  que provoca el embarazo y el parto en la persona gestante, conocido como  puerperio. </w:t>
      </w:r>
    </w:p>
    <w:p w14:paraId="00000097" w14:textId="77777777" w:rsidR="00C82B49" w:rsidRDefault="00954538">
      <w:pPr>
        <w:widowControl w:val="0"/>
        <w:pBdr>
          <w:top w:val="nil"/>
          <w:left w:val="nil"/>
          <w:bottom w:val="nil"/>
          <w:right w:val="nil"/>
          <w:between w:val="nil"/>
        </w:pBdr>
        <w:spacing w:before="31" w:line="357" w:lineRule="auto"/>
        <w:ind w:left="1151" w:right="-4" w:firstLine="141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Ahora bien, si de los antecedentes respecto de la gestación y el  trabajo previo surge que la voluntad materna tiene soporte en la decisión libre  de quien la emite, como así surge de los reiterados informes remitidos por el  equipo técnico del Hospital, lo dicho por M. en su demanda y en la audiencia  llevada a cabo, como así también de los informes psicológicos obrantes en  autos, no cabe analizar la norma bajo un rigorismo formal de tal envergadura.  </w:t>
      </w:r>
    </w:p>
    <w:p w14:paraId="00000098" w14:textId="77777777" w:rsidR="00C82B49" w:rsidRDefault="00954538">
      <w:pPr>
        <w:widowControl w:val="0"/>
        <w:pBdr>
          <w:top w:val="nil"/>
          <w:left w:val="nil"/>
          <w:bottom w:val="nil"/>
          <w:right w:val="nil"/>
          <w:between w:val="nil"/>
        </w:pBdr>
        <w:spacing w:before="31" w:line="357" w:lineRule="auto"/>
        <w:ind w:left="1153" w:right="-1" w:firstLine="1412"/>
        <w:jc w:val="both"/>
        <w:rPr>
          <w:rFonts w:ascii="Century Gothic" w:eastAsia="Century Gothic" w:hAnsi="Century Gothic" w:cs="Century Gothic"/>
          <w:color w:val="000000"/>
        </w:rPr>
      </w:pPr>
      <w:r w:rsidRPr="00F156C4">
        <w:rPr>
          <w:rFonts w:ascii="Century Gothic" w:eastAsia="Century Gothic" w:hAnsi="Century Gothic" w:cs="Century Gothic"/>
          <w:color w:val="000000"/>
          <w:highlight w:val="yellow"/>
        </w:rPr>
        <w:t>Si bien es cierto que ello responde a un derecho que a ella le  asiste, si ya ha manifestado en reiteradas oportunidades su deseo de que  dicho plazo no sea respetado, incluso mucho antes de que el nacimiento se  produzca, una interpretación armónica de las normas evaluadas a la luz de los  artículos 1 y 2 de nuestro Código Civil y Comercial nos exige apartarnos de la  literalidad de las palabras y, como fuera ya dicho, debe ser analizado en  concordancia con la situación que se presenta en el caso particular.</w:t>
      </w:r>
      <w:bookmarkStart w:id="0" w:name="_GoBack"/>
      <w:bookmarkEnd w:id="0"/>
      <w:r>
        <w:rPr>
          <w:rFonts w:ascii="Century Gothic" w:eastAsia="Century Gothic" w:hAnsi="Century Gothic" w:cs="Century Gothic"/>
          <w:color w:val="000000"/>
        </w:rPr>
        <w:t xml:space="preserve"> </w:t>
      </w:r>
    </w:p>
    <w:p w14:paraId="00000099" w14:textId="77777777" w:rsidR="00C82B49" w:rsidRDefault="00954538">
      <w:pPr>
        <w:widowControl w:val="0"/>
        <w:pBdr>
          <w:top w:val="nil"/>
          <w:left w:val="nil"/>
          <w:bottom w:val="nil"/>
          <w:right w:val="nil"/>
          <w:between w:val="nil"/>
        </w:pBdr>
        <w:spacing w:before="425" w:line="240" w:lineRule="auto"/>
        <w:ind w:left="1160"/>
        <w:rPr>
          <w:rFonts w:ascii="Century Gothic" w:eastAsia="Century Gothic" w:hAnsi="Century Gothic" w:cs="Century Gothic"/>
          <w:b/>
          <w:color w:val="000000"/>
        </w:rPr>
      </w:pPr>
      <w:r>
        <w:rPr>
          <w:rFonts w:ascii="Century Gothic" w:eastAsia="Century Gothic" w:hAnsi="Century Gothic" w:cs="Century Gothic"/>
          <w:b/>
          <w:color w:val="000000"/>
        </w:rPr>
        <w:t xml:space="preserve">Palabras finales </w:t>
      </w:r>
    </w:p>
    <w:p w14:paraId="0000009A" w14:textId="77777777" w:rsidR="00C82B49" w:rsidRDefault="00954538">
      <w:pPr>
        <w:widowControl w:val="0"/>
        <w:pBdr>
          <w:top w:val="nil"/>
          <w:left w:val="nil"/>
          <w:bottom w:val="nil"/>
          <w:right w:val="nil"/>
          <w:between w:val="nil"/>
        </w:pBdr>
        <w:spacing w:before="533" w:line="357" w:lineRule="auto"/>
        <w:ind w:left="1147" w:right="-4" w:firstLine="14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Paula </w:t>
      </w:r>
      <w:proofErr w:type="spellStart"/>
      <w:r>
        <w:rPr>
          <w:rFonts w:ascii="Century Gothic" w:eastAsia="Century Gothic" w:hAnsi="Century Gothic" w:cs="Century Gothic"/>
          <w:color w:val="000000"/>
        </w:rPr>
        <w:t>Fredes</w:t>
      </w:r>
      <w:proofErr w:type="spellEnd"/>
      <w:r>
        <w:rPr>
          <w:rFonts w:ascii="Century Gothic" w:eastAsia="Century Gothic" w:hAnsi="Century Gothic" w:cs="Century Gothic"/>
          <w:color w:val="000000"/>
        </w:rPr>
        <w:t xml:space="preserve"> ha dicho que el patriarcado con la figura del  “padre de familia” ha sido parcialmente superado por la democratización de  las </w:t>
      </w:r>
      <w:r>
        <w:rPr>
          <w:rFonts w:ascii="Century Gothic" w:eastAsia="Century Gothic" w:hAnsi="Century Gothic" w:cs="Century Gothic"/>
          <w:color w:val="000000"/>
        </w:rPr>
        <w:lastRenderedPageBreak/>
        <w:t xml:space="preserve">relaciones familiares. En consecuencia, el rol de los jueces y juezas ha  cambiado, ya que se ve permanentemente confrontado por la  </w:t>
      </w:r>
      <w:proofErr w:type="spellStart"/>
      <w:r>
        <w:rPr>
          <w:rFonts w:ascii="Century Gothic" w:eastAsia="Century Gothic" w:hAnsi="Century Gothic" w:cs="Century Gothic"/>
          <w:color w:val="000000"/>
        </w:rPr>
        <w:t>constitucionalización</w:t>
      </w:r>
      <w:proofErr w:type="spellEnd"/>
      <w:r>
        <w:rPr>
          <w:rFonts w:ascii="Century Gothic" w:eastAsia="Century Gothic" w:hAnsi="Century Gothic" w:cs="Century Gothic"/>
          <w:color w:val="000000"/>
        </w:rPr>
        <w:t xml:space="preserve"> del derecho privado, que lo obliga a abandonar, al  momento de resolver, el modelo de la subsunción normativa, y debe recurrir a  la ponderación de todo el sistema y subsistemas normativos que interactúan y  se complementan en lo que los autores han llamado “el diálogo de fuentes”  (arts. 1, 2 y 3 del Código Civil y Comercial).</w:t>
      </w:r>
    </w:p>
    <w:p w14:paraId="0000009B" w14:textId="77777777" w:rsidR="00C82B49" w:rsidRDefault="00954538">
      <w:pPr>
        <w:widowControl w:val="0"/>
        <w:pBdr>
          <w:top w:val="nil"/>
          <w:left w:val="nil"/>
          <w:bottom w:val="nil"/>
          <w:right w:val="nil"/>
          <w:between w:val="nil"/>
        </w:pBdr>
        <w:spacing w:line="357" w:lineRule="auto"/>
        <w:ind w:left="5" w:right="1131" w:firstLine="1433"/>
        <w:jc w:val="both"/>
        <w:rPr>
          <w:rFonts w:ascii="Century Gothic" w:eastAsia="Century Gothic" w:hAnsi="Century Gothic" w:cs="Century Gothic"/>
          <w:color w:val="000000"/>
        </w:rPr>
      </w:pPr>
      <w:r>
        <w:rPr>
          <w:rFonts w:ascii="Century Gothic" w:eastAsia="Century Gothic" w:hAnsi="Century Gothic" w:cs="Century Gothic"/>
          <w:color w:val="000000"/>
        </w:rPr>
        <w:t>Citando sus palabras: “</w:t>
      </w:r>
      <w:r>
        <w:rPr>
          <w:rFonts w:ascii="Century Gothic" w:eastAsia="Century Gothic" w:hAnsi="Century Gothic" w:cs="Century Gothic"/>
          <w:i/>
          <w:color w:val="000000"/>
        </w:rPr>
        <w:t>Actualmente, se requiere un juez creativo  para poder dar solución a una sociedad que avanza a pasos agigantados en  la conquista de sus derechos. Un juez especializado y proactivo para dar  respuesta a los cambios familiares, a las nuevas formas de familias, a las nuevas  individualidades, que lo enfrentan a renovados desafíos. Un juez que no se  refugie en las formas, que vele por las garantías del debido proceso y se  esmere no solo por la efectividad de sus sentencias, sino por encontrar  fórmulas conciliatorias que les permitan a las partes resolver por sí sus conflictos  familiares en los que se mezclan, casi sin poder distinguirse, el derecho y la  interdisciplina</w:t>
      </w:r>
      <w:r>
        <w:rPr>
          <w:rFonts w:ascii="Century Gothic" w:eastAsia="Century Gothic" w:hAnsi="Century Gothic" w:cs="Century Gothic"/>
          <w:color w:val="000000"/>
        </w:rPr>
        <w:t>”</w:t>
      </w:r>
      <w:r>
        <w:rPr>
          <w:rFonts w:ascii="Century Gothic" w:eastAsia="Century Gothic" w:hAnsi="Century Gothic" w:cs="Century Gothic"/>
          <w:color w:val="000000"/>
          <w:sz w:val="23"/>
          <w:szCs w:val="23"/>
          <w:vertAlign w:val="superscript"/>
        </w:rPr>
        <w:t>32</w:t>
      </w:r>
      <w:r>
        <w:rPr>
          <w:rFonts w:ascii="Century Gothic" w:eastAsia="Century Gothic" w:hAnsi="Century Gothic" w:cs="Century Gothic"/>
          <w:color w:val="000000"/>
        </w:rPr>
        <w:t xml:space="preserve">. </w:t>
      </w:r>
    </w:p>
    <w:p w14:paraId="0000009C" w14:textId="77777777" w:rsidR="00C82B49" w:rsidRDefault="00954538">
      <w:pPr>
        <w:widowControl w:val="0"/>
        <w:pBdr>
          <w:top w:val="nil"/>
          <w:left w:val="nil"/>
          <w:bottom w:val="nil"/>
          <w:right w:val="nil"/>
          <w:between w:val="nil"/>
        </w:pBdr>
        <w:spacing w:before="30" w:line="356" w:lineRule="auto"/>
        <w:ind w:right="1140" w:firstLine="144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interpretación progresiva de los Derechos Humanos nos  demanda su lectura a la luz de las circunstancias y de los contextos, tanto  jurídicos como políticos, sociales y culturales. </w:t>
      </w:r>
    </w:p>
    <w:p w14:paraId="0000009D" w14:textId="77777777" w:rsidR="00C82B49" w:rsidRDefault="00954538">
      <w:pPr>
        <w:widowControl w:val="0"/>
        <w:pBdr>
          <w:top w:val="nil"/>
          <w:left w:val="nil"/>
          <w:bottom w:val="nil"/>
          <w:right w:val="nil"/>
          <w:between w:val="nil"/>
        </w:pBdr>
        <w:spacing w:before="31" w:line="356" w:lineRule="auto"/>
        <w:ind w:left="17" w:right="1132" w:firstLine="1428"/>
        <w:jc w:val="both"/>
        <w:rPr>
          <w:rFonts w:ascii="Century Gothic" w:eastAsia="Century Gothic" w:hAnsi="Century Gothic" w:cs="Century Gothic"/>
          <w:color w:val="000000"/>
        </w:rPr>
      </w:pPr>
      <w:r>
        <w:rPr>
          <w:rFonts w:ascii="Century Gothic" w:eastAsia="Century Gothic" w:hAnsi="Century Gothic" w:cs="Century Gothic"/>
          <w:color w:val="000000"/>
        </w:rPr>
        <w:t>La vida no cabe en una norma jurídica, ni la tarea del intérprete  es tal que baste con acotarla al supuesto legal, que -por definición- debe ser  de tal amplitud que admita los matices de cada caso</w:t>
      </w:r>
      <w:r>
        <w:rPr>
          <w:rFonts w:ascii="Century Gothic" w:eastAsia="Century Gothic" w:hAnsi="Century Gothic" w:cs="Century Gothic"/>
          <w:color w:val="000000"/>
          <w:sz w:val="23"/>
          <w:szCs w:val="23"/>
          <w:vertAlign w:val="superscript"/>
        </w:rPr>
        <w:t>33</w:t>
      </w:r>
      <w:r>
        <w:rPr>
          <w:rFonts w:ascii="Century Gothic" w:eastAsia="Century Gothic" w:hAnsi="Century Gothic" w:cs="Century Gothic"/>
          <w:color w:val="000000"/>
        </w:rPr>
        <w:t xml:space="preserve">. </w:t>
      </w:r>
    </w:p>
    <w:p w14:paraId="0000009E" w14:textId="77777777" w:rsidR="00C82B49" w:rsidRDefault="00954538">
      <w:pPr>
        <w:widowControl w:val="0"/>
        <w:pBdr>
          <w:top w:val="nil"/>
          <w:left w:val="nil"/>
          <w:bottom w:val="nil"/>
          <w:right w:val="nil"/>
          <w:between w:val="nil"/>
        </w:pBdr>
        <w:spacing w:before="426" w:line="240" w:lineRule="auto"/>
        <w:ind w:left="25"/>
        <w:rPr>
          <w:rFonts w:ascii="Century Gothic" w:eastAsia="Century Gothic" w:hAnsi="Century Gothic" w:cs="Century Gothic"/>
          <w:b/>
          <w:color w:val="000000"/>
        </w:rPr>
      </w:pPr>
      <w:r>
        <w:rPr>
          <w:rFonts w:ascii="Century Gothic" w:eastAsia="Century Gothic" w:hAnsi="Century Gothic" w:cs="Century Gothic"/>
          <w:color w:val="000000"/>
        </w:rPr>
        <w:t xml:space="preserve">Por los motivos expuestos, </w:t>
      </w:r>
      <w:r>
        <w:rPr>
          <w:rFonts w:ascii="Century Gothic" w:eastAsia="Century Gothic" w:hAnsi="Century Gothic" w:cs="Century Gothic"/>
          <w:b/>
          <w:color w:val="000000"/>
        </w:rPr>
        <w:t xml:space="preserve">FALLO:  </w:t>
      </w:r>
    </w:p>
    <w:p w14:paraId="0000009F" w14:textId="77777777" w:rsidR="00C82B49" w:rsidRDefault="00954538">
      <w:pPr>
        <w:widowControl w:val="0"/>
        <w:pBdr>
          <w:top w:val="nil"/>
          <w:left w:val="nil"/>
          <w:bottom w:val="nil"/>
          <w:right w:val="nil"/>
          <w:between w:val="nil"/>
        </w:pBdr>
        <w:spacing w:before="143" w:line="357" w:lineRule="auto"/>
        <w:ind w:left="735" w:right="1130" w:hanging="350"/>
        <w:rPr>
          <w:rFonts w:ascii="Century Gothic" w:eastAsia="Century Gothic" w:hAnsi="Century Gothic" w:cs="Century Gothic"/>
          <w:color w:val="000000"/>
        </w:rPr>
      </w:pPr>
      <w:r>
        <w:rPr>
          <w:rFonts w:ascii="Century Gothic" w:eastAsia="Century Gothic" w:hAnsi="Century Gothic" w:cs="Century Gothic"/>
          <w:b/>
          <w:color w:val="000000"/>
        </w:rPr>
        <w:t xml:space="preserve">1) </w:t>
      </w:r>
      <w:r>
        <w:rPr>
          <w:rFonts w:ascii="Century Gothic" w:eastAsia="Century Gothic" w:hAnsi="Century Gothic" w:cs="Century Gothic"/>
          <w:color w:val="000000"/>
        </w:rPr>
        <w:t xml:space="preserve">DECLARAR LA INCONSTITUCIONALIDAD de los arts. 595 inc. c) y 607 parte  final del Código Civil y Comercial de la Nación, puesto que, en el caso  particular, esas normas no superan el test de constitucionalidad convencionalidad en vigencia, alterando el principio de progresividad y  proporcionalidad expresamente receptado en los Tratados  Internacionales de Derechos Humanos en los que nuestro país es parte  </w:t>
      </w:r>
      <w:r>
        <w:rPr>
          <w:rFonts w:ascii="Century Gothic" w:eastAsia="Century Gothic" w:hAnsi="Century Gothic" w:cs="Century Gothic"/>
          <w:color w:val="000000"/>
        </w:rPr>
        <w:lastRenderedPageBreak/>
        <w:t>integrante</w:t>
      </w:r>
      <w:r>
        <w:rPr>
          <w:rFonts w:ascii="Century Gothic" w:eastAsia="Century Gothic" w:hAnsi="Century Gothic" w:cs="Century Gothic"/>
          <w:color w:val="000000"/>
          <w:sz w:val="23"/>
          <w:szCs w:val="23"/>
          <w:vertAlign w:val="superscript"/>
        </w:rPr>
        <w:t>34</w:t>
      </w:r>
      <w:r>
        <w:rPr>
          <w:rFonts w:ascii="Century Gothic" w:eastAsia="Century Gothic" w:hAnsi="Century Gothic" w:cs="Century Gothic"/>
          <w:color w:val="000000"/>
        </w:rPr>
        <w:t xml:space="preserve">. </w:t>
      </w:r>
    </w:p>
    <w:p w14:paraId="000000A0" w14:textId="77777777" w:rsidR="00C82B49" w:rsidRDefault="00954538">
      <w:pPr>
        <w:widowControl w:val="0"/>
        <w:pBdr>
          <w:top w:val="nil"/>
          <w:left w:val="nil"/>
          <w:bottom w:val="nil"/>
          <w:right w:val="nil"/>
          <w:between w:val="nil"/>
        </w:pBdr>
        <w:spacing w:before="35" w:line="354" w:lineRule="auto"/>
        <w:ind w:left="738" w:right="1132" w:hanging="367"/>
        <w:rPr>
          <w:rFonts w:ascii="Century Gothic" w:eastAsia="Century Gothic" w:hAnsi="Century Gothic" w:cs="Century Gothic"/>
          <w:color w:val="000000"/>
        </w:rPr>
      </w:pPr>
      <w:r>
        <w:rPr>
          <w:rFonts w:ascii="Century Gothic" w:eastAsia="Century Gothic" w:hAnsi="Century Gothic" w:cs="Century Gothic"/>
          <w:b/>
          <w:color w:val="000000"/>
        </w:rPr>
        <w:t xml:space="preserve">2) </w:t>
      </w:r>
      <w:r w:rsidRPr="00F156C4">
        <w:rPr>
          <w:rFonts w:ascii="Century Gothic" w:eastAsia="Century Gothic" w:hAnsi="Century Gothic" w:cs="Century Gothic"/>
          <w:color w:val="000000"/>
          <w:highlight w:val="yellow"/>
        </w:rPr>
        <w:t xml:space="preserve">Declarar el Estado de </w:t>
      </w:r>
      <w:proofErr w:type="spellStart"/>
      <w:r w:rsidRPr="00F156C4">
        <w:rPr>
          <w:rFonts w:ascii="Century Gothic" w:eastAsia="Century Gothic" w:hAnsi="Century Gothic" w:cs="Century Gothic"/>
          <w:color w:val="000000"/>
          <w:highlight w:val="yellow"/>
        </w:rPr>
        <w:t>Adoptabilidad</w:t>
      </w:r>
      <w:proofErr w:type="spellEnd"/>
      <w:r w:rsidRPr="00F156C4">
        <w:rPr>
          <w:rFonts w:ascii="Century Gothic" w:eastAsia="Century Gothic" w:hAnsi="Century Gothic" w:cs="Century Gothic"/>
          <w:color w:val="000000"/>
          <w:highlight w:val="yellow"/>
        </w:rPr>
        <w:t xml:space="preserve"> de L.R., D.N.I. …… con todos los  efectos que tal declaración importa</w:t>
      </w:r>
      <w:r>
        <w:rPr>
          <w:rFonts w:ascii="Century Gothic" w:eastAsia="Century Gothic" w:hAnsi="Century Gothic" w:cs="Century Gothic"/>
          <w:color w:val="000000"/>
        </w:rPr>
        <w:t xml:space="preserve">. </w:t>
      </w:r>
    </w:p>
    <w:p w14:paraId="000000A1" w14:textId="77777777" w:rsidR="00C82B49" w:rsidRDefault="00954538">
      <w:pPr>
        <w:widowControl w:val="0"/>
        <w:pBdr>
          <w:top w:val="nil"/>
          <w:left w:val="nil"/>
          <w:bottom w:val="nil"/>
          <w:right w:val="nil"/>
          <w:between w:val="nil"/>
        </w:pBdr>
        <w:spacing w:before="628" w:line="245" w:lineRule="auto"/>
        <w:ind w:left="13" w:right="1143"/>
        <w:jc w:val="both"/>
        <w:rPr>
          <w:rFonts w:ascii="Calibri" w:eastAsia="Calibri" w:hAnsi="Calibri" w:cs="Calibri"/>
          <w:color w:val="000000"/>
        </w:rPr>
      </w:pPr>
      <w:r>
        <w:rPr>
          <w:rFonts w:ascii="Calibri" w:eastAsia="Calibri" w:hAnsi="Calibri" w:cs="Calibri"/>
          <w:color w:val="000000"/>
          <w:sz w:val="23"/>
          <w:szCs w:val="23"/>
          <w:vertAlign w:val="superscript"/>
        </w:rPr>
        <w:t xml:space="preserve">32 </w:t>
      </w:r>
      <w:r>
        <w:rPr>
          <w:rFonts w:ascii="Calibri" w:eastAsia="Calibri" w:hAnsi="Calibri" w:cs="Calibri"/>
          <w:color w:val="000000"/>
        </w:rPr>
        <w:t xml:space="preserve">Paula </w:t>
      </w:r>
      <w:proofErr w:type="spellStart"/>
      <w:r>
        <w:rPr>
          <w:rFonts w:ascii="Calibri" w:eastAsia="Calibri" w:hAnsi="Calibri" w:cs="Calibri"/>
          <w:color w:val="000000"/>
        </w:rPr>
        <w:t>Fredes</w:t>
      </w:r>
      <w:proofErr w:type="spellEnd"/>
      <w:r>
        <w:rPr>
          <w:rFonts w:ascii="Calibri" w:eastAsia="Calibri" w:hAnsi="Calibri" w:cs="Calibri"/>
          <w:color w:val="000000"/>
        </w:rPr>
        <w:t xml:space="preserve">, </w:t>
      </w:r>
      <w:r>
        <w:rPr>
          <w:rFonts w:ascii="Calibri" w:eastAsia="Calibri" w:hAnsi="Calibri" w:cs="Calibri"/>
          <w:i/>
          <w:color w:val="000000"/>
        </w:rPr>
        <w:t xml:space="preserve">A 30 Años de la Convención Sobre los Derechos del Niño </w:t>
      </w:r>
      <w:r>
        <w:rPr>
          <w:rFonts w:ascii="Calibri" w:eastAsia="Calibri" w:hAnsi="Calibri" w:cs="Calibri"/>
          <w:color w:val="000000"/>
        </w:rPr>
        <w:t xml:space="preserve">“LA CONVENCIÓN  SOBRE LOS DERECHOS DEL NIÑO Y EL CAMINO HACIA LA COPARENTALIDAD COMO DERECHO  HUMANO; Edición 2020, </w:t>
      </w:r>
      <w:proofErr w:type="spellStart"/>
      <w:r>
        <w:rPr>
          <w:rFonts w:ascii="Calibri" w:eastAsia="Calibri" w:hAnsi="Calibri" w:cs="Calibri"/>
          <w:color w:val="000000"/>
        </w:rPr>
        <w:t>pag</w:t>
      </w:r>
      <w:proofErr w:type="spellEnd"/>
      <w:r>
        <w:rPr>
          <w:rFonts w:ascii="Calibri" w:eastAsia="Calibri" w:hAnsi="Calibri" w:cs="Calibri"/>
          <w:color w:val="000000"/>
        </w:rPr>
        <w:t xml:space="preserve">. 680. </w:t>
      </w:r>
    </w:p>
    <w:p w14:paraId="000000A2" w14:textId="77777777" w:rsidR="00C82B49" w:rsidRDefault="00954538">
      <w:pPr>
        <w:widowControl w:val="0"/>
        <w:pBdr>
          <w:top w:val="nil"/>
          <w:left w:val="nil"/>
          <w:bottom w:val="nil"/>
          <w:right w:val="nil"/>
          <w:between w:val="nil"/>
        </w:pBdr>
        <w:spacing w:before="3" w:line="245" w:lineRule="auto"/>
        <w:ind w:left="15" w:right="1145"/>
        <w:rPr>
          <w:rFonts w:ascii="Calibri" w:eastAsia="Calibri" w:hAnsi="Calibri" w:cs="Calibri"/>
          <w:color w:val="000000"/>
        </w:rPr>
      </w:pPr>
      <w:r>
        <w:rPr>
          <w:rFonts w:ascii="Calibri" w:eastAsia="Calibri" w:hAnsi="Calibri" w:cs="Calibri"/>
          <w:color w:val="000000"/>
          <w:sz w:val="26"/>
          <w:szCs w:val="26"/>
          <w:vertAlign w:val="superscript"/>
        </w:rPr>
        <w:t xml:space="preserve">33 </w:t>
      </w:r>
      <w:r>
        <w:rPr>
          <w:rFonts w:ascii="Calibri" w:eastAsia="Calibri" w:hAnsi="Calibri" w:cs="Calibri"/>
          <w:color w:val="000000"/>
        </w:rPr>
        <w:t xml:space="preserve">Marisa Herrera – Gustavo Caramelo – Sebastián Picasso; </w:t>
      </w:r>
      <w:r>
        <w:rPr>
          <w:rFonts w:ascii="Calibri" w:eastAsia="Calibri" w:hAnsi="Calibri" w:cs="Calibri"/>
          <w:i/>
          <w:color w:val="000000"/>
        </w:rPr>
        <w:t>Código Civil y Comercial de la  Nación Comentado</w:t>
      </w:r>
      <w:r>
        <w:rPr>
          <w:rFonts w:ascii="Calibri" w:eastAsia="Calibri" w:hAnsi="Calibri" w:cs="Calibri"/>
          <w:color w:val="000000"/>
        </w:rPr>
        <w:t xml:space="preserve">; comentario al art. 607, p. 393. </w:t>
      </w:r>
    </w:p>
    <w:p w14:paraId="000000A3" w14:textId="77777777" w:rsidR="00C82B49" w:rsidRDefault="00954538">
      <w:pPr>
        <w:widowControl w:val="0"/>
        <w:pBdr>
          <w:top w:val="nil"/>
          <w:left w:val="nil"/>
          <w:bottom w:val="nil"/>
          <w:right w:val="nil"/>
          <w:between w:val="nil"/>
        </w:pBdr>
        <w:spacing w:before="4" w:line="240" w:lineRule="auto"/>
        <w:ind w:left="13"/>
        <w:rPr>
          <w:rFonts w:ascii="Calibri" w:eastAsia="Calibri" w:hAnsi="Calibri" w:cs="Calibri"/>
          <w:color w:val="000000"/>
        </w:rPr>
      </w:pPr>
      <w:r>
        <w:rPr>
          <w:rFonts w:ascii="Calibri" w:eastAsia="Calibri" w:hAnsi="Calibri" w:cs="Calibri"/>
          <w:color w:val="000000"/>
          <w:sz w:val="23"/>
          <w:szCs w:val="23"/>
          <w:vertAlign w:val="superscript"/>
        </w:rPr>
        <w:t xml:space="preserve">34 </w:t>
      </w:r>
      <w:r>
        <w:rPr>
          <w:rFonts w:ascii="Calibri" w:eastAsia="Calibri" w:hAnsi="Calibri" w:cs="Calibri"/>
          <w:color w:val="000000"/>
        </w:rPr>
        <w:t>art. 28 y 75 inc. 22 de la Constitución Nacional</w:t>
      </w:r>
    </w:p>
    <w:p w14:paraId="000000A4" w14:textId="77777777" w:rsidR="00C82B49" w:rsidRDefault="00954538">
      <w:pPr>
        <w:widowControl w:val="0"/>
        <w:pBdr>
          <w:top w:val="nil"/>
          <w:left w:val="nil"/>
          <w:bottom w:val="nil"/>
          <w:right w:val="nil"/>
          <w:between w:val="nil"/>
        </w:pBdr>
        <w:spacing w:line="356" w:lineRule="auto"/>
        <w:ind w:left="1867" w:right="2" w:hanging="359"/>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3) </w:t>
      </w:r>
      <w:r>
        <w:rPr>
          <w:rFonts w:ascii="Century Gothic" w:eastAsia="Century Gothic" w:hAnsi="Century Gothic" w:cs="Century Gothic"/>
          <w:color w:val="000000"/>
        </w:rPr>
        <w:t xml:space="preserve">Firme que se encuentre la presente, requiérase al Registro Único de  Adoptantes que remita, en un plazo de cinco (5) días, una nómina  conformada por tres (3) pretensos adoptantes.  </w:t>
      </w:r>
    </w:p>
    <w:p w14:paraId="000000A5" w14:textId="77777777" w:rsidR="00C82B49" w:rsidRDefault="00954538">
      <w:pPr>
        <w:widowControl w:val="0"/>
        <w:pBdr>
          <w:top w:val="nil"/>
          <w:left w:val="nil"/>
          <w:bottom w:val="nil"/>
          <w:right w:val="nil"/>
          <w:between w:val="nil"/>
        </w:pBdr>
        <w:spacing w:before="31" w:line="359" w:lineRule="auto"/>
        <w:ind w:left="1879" w:hanging="37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4) </w:t>
      </w:r>
      <w:r>
        <w:rPr>
          <w:rFonts w:ascii="Century Gothic" w:eastAsia="Century Gothic" w:hAnsi="Century Gothic" w:cs="Century Gothic"/>
          <w:color w:val="000000"/>
        </w:rPr>
        <w:t xml:space="preserve">Regular los honorarios de la Dra. María </w:t>
      </w:r>
      <w:proofErr w:type="spellStart"/>
      <w:r>
        <w:rPr>
          <w:rFonts w:ascii="Century Gothic" w:eastAsia="Century Gothic" w:hAnsi="Century Gothic" w:cs="Century Gothic"/>
          <w:color w:val="000000"/>
        </w:rPr>
        <w:t>Angelica</w:t>
      </w:r>
      <w:proofErr w:type="spellEnd"/>
      <w:r>
        <w:rPr>
          <w:rFonts w:ascii="Century Gothic" w:eastAsia="Century Gothic" w:hAnsi="Century Gothic" w:cs="Century Gothic"/>
          <w:color w:val="000000"/>
        </w:rPr>
        <w:t xml:space="preserve"> Acosta Meza,  </w:t>
      </w:r>
      <w:proofErr w:type="spellStart"/>
      <w:r>
        <w:rPr>
          <w:rFonts w:ascii="Century Gothic" w:eastAsia="Century Gothic" w:hAnsi="Century Gothic" w:cs="Century Gothic"/>
          <w:color w:val="000000"/>
        </w:rPr>
        <w:t>patrocinante</w:t>
      </w:r>
      <w:proofErr w:type="spellEnd"/>
      <w:r>
        <w:rPr>
          <w:rFonts w:ascii="Century Gothic" w:eastAsia="Century Gothic" w:hAnsi="Century Gothic" w:cs="Century Gothic"/>
          <w:color w:val="000000"/>
        </w:rPr>
        <w:t xml:space="preserve"> letrada de M. en la suma de once mil ochocientos pesos  ($11.800).  </w:t>
      </w:r>
    </w:p>
    <w:p w14:paraId="000000A6" w14:textId="77777777" w:rsidR="00C82B49" w:rsidRDefault="00954538">
      <w:pPr>
        <w:widowControl w:val="0"/>
        <w:pBdr>
          <w:top w:val="nil"/>
          <w:left w:val="nil"/>
          <w:bottom w:val="nil"/>
          <w:right w:val="nil"/>
          <w:between w:val="nil"/>
        </w:pBdr>
        <w:spacing w:before="28" w:line="357" w:lineRule="auto"/>
        <w:ind w:left="1873" w:right="2" w:hanging="366"/>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5) </w:t>
      </w:r>
      <w:r>
        <w:rPr>
          <w:rFonts w:ascii="Century Gothic" w:eastAsia="Century Gothic" w:hAnsi="Century Gothic" w:cs="Century Gothic"/>
          <w:color w:val="000000"/>
        </w:rPr>
        <w:t xml:space="preserve">Notifíquese electrónicamente a la Defensora de los Derechos del Niño y  el Adolescente, a la </w:t>
      </w:r>
      <w:proofErr w:type="spellStart"/>
      <w:r>
        <w:rPr>
          <w:rFonts w:ascii="Century Gothic" w:eastAsia="Century Gothic" w:hAnsi="Century Gothic" w:cs="Century Gothic"/>
          <w:color w:val="000000"/>
        </w:rPr>
        <w:t>peticionante</w:t>
      </w:r>
      <w:proofErr w:type="spellEnd"/>
      <w:r>
        <w:rPr>
          <w:rFonts w:ascii="Century Gothic" w:eastAsia="Century Gothic" w:hAnsi="Century Gothic" w:cs="Century Gothic"/>
          <w:color w:val="000000"/>
        </w:rPr>
        <w:t xml:space="preserve">, a la Subsecretaría de Familia, al  Ministerio Público Fiscal y al Registro Único de Adoptantes mediante la  remisión de las actuaciones a su público despacho. </w:t>
      </w:r>
    </w:p>
    <w:p w14:paraId="000000A7" w14:textId="77777777" w:rsidR="00C82B49" w:rsidRDefault="00954538">
      <w:pPr>
        <w:widowControl w:val="0"/>
        <w:pBdr>
          <w:top w:val="nil"/>
          <w:left w:val="nil"/>
          <w:bottom w:val="nil"/>
          <w:right w:val="nil"/>
          <w:between w:val="nil"/>
        </w:pBdr>
        <w:spacing w:before="30" w:line="240" w:lineRule="auto"/>
        <w:ind w:left="116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I.B </w:t>
      </w:r>
    </w:p>
    <w:p w14:paraId="000000A8" w14:textId="77777777" w:rsidR="00C82B49" w:rsidRDefault="00954538">
      <w:pPr>
        <w:widowControl w:val="0"/>
        <w:pBdr>
          <w:top w:val="nil"/>
          <w:left w:val="nil"/>
          <w:bottom w:val="nil"/>
          <w:right w:val="nil"/>
          <w:between w:val="nil"/>
        </w:pBdr>
        <w:spacing w:before="404" w:line="240" w:lineRule="auto"/>
        <w:ind w:right="1824"/>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Dra. María Gabriela Ávila </w:t>
      </w:r>
    </w:p>
    <w:p w14:paraId="000000A9" w14:textId="77777777" w:rsidR="00C82B49" w:rsidRDefault="00954538">
      <w:pPr>
        <w:widowControl w:val="0"/>
        <w:pBdr>
          <w:top w:val="nil"/>
          <w:left w:val="nil"/>
          <w:bottom w:val="nil"/>
          <w:right w:val="nil"/>
          <w:between w:val="nil"/>
        </w:pBdr>
        <w:spacing w:before="143" w:line="240" w:lineRule="auto"/>
        <w:ind w:right="2941"/>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Juez </w:t>
      </w:r>
    </w:p>
    <w:p w14:paraId="000000AA" w14:textId="77777777" w:rsidR="00C82B49" w:rsidRDefault="00954538">
      <w:pPr>
        <w:widowControl w:val="0"/>
        <w:pBdr>
          <w:top w:val="nil"/>
          <w:left w:val="nil"/>
          <w:bottom w:val="nil"/>
          <w:right w:val="nil"/>
          <w:between w:val="nil"/>
        </w:pBdr>
        <w:spacing w:before="688" w:line="240" w:lineRule="auto"/>
        <w:ind w:left="1161"/>
        <w:rPr>
          <w:rFonts w:ascii="Century Gothic" w:eastAsia="Century Gothic" w:hAnsi="Century Gothic" w:cs="Century Gothic"/>
          <w:color w:val="000000"/>
        </w:rPr>
      </w:pPr>
      <w:r>
        <w:rPr>
          <w:rFonts w:ascii="Century Gothic" w:eastAsia="Century Gothic" w:hAnsi="Century Gothic" w:cs="Century Gothic"/>
          <w:color w:val="000000"/>
        </w:rPr>
        <w:t xml:space="preserve">Notifiqué electrónicamente. </w:t>
      </w:r>
    </w:p>
    <w:p w14:paraId="000000AB" w14:textId="77777777" w:rsidR="00C82B49" w:rsidRDefault="00954538">
      <w:pPr>
        <w:widowControl w:val="0"/>
        <w:pBdr>
          <w:top w:val="nil"/>
          <w:left w:val="nil"/>
          <w:bottom w:val="nil"/>
          <w:right w:val="nil"/>
          <w:between w:val="nil"/>
        </w:pBdr>
        <w:spacing w:before="533" w:line="240" w:lineRule="auto"/>
        <w:ind w:right="3322"/>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Ignacio Benavides </w:t>
      </w:r>
    </w:p>
    <w:p w14:paraId="000000AC" w14:textId="77777777" w:rsidR="00C82B49" w:rsidRDefault="00954538">
      <w:pPr>
        <w:widowControl w:val="0"/>
        <w:pBdr>
          <w:top w:val="nil"/>
          <w:left w:val="nil"/>
          <w:bottom w:val="nil"/>
          <w:right w:val="nil"/>
          <w:between w:val="nil"/>
        </w:pBdr>
        <w:spacing w:before="143" w:line="240" w:lineRule="auto"/>
        <w:ind w:right="3626"/>
        <w:jc w:val="right"/>
        <w:rPr>
          <w:rFonts w:ascii="Century Gothic" w:eastAsia="Century Gothic" w:hAnsi="Century Gothic" w:cs="Century Gothic"/>
          <w:b/>
          <w:color w:val="000000"/>
        </w:rPr>
      </w:pPr>
      <w:r>
        <w:rPr>
          <w:rFonts w:ascii="Century Gothic" w:eastAsia="Century Gothic" w:hAnsi="Century Gothic" w:cs="Century Gothic"/>
          <w:b/>
          <w:color w:val="000000"/>
        </w:rPr>
        <w:t>Prosecretario</w:t>
      </w:r>
    </w:p>
    <w:sectPr w:rsidR="00C82B49">
      <w:pgSz w:w="11900" w:h="16840"/>
      <w:pgMar w:top="2265" w:right="1064" w:bottom="1755" w:left="112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49"/>
    <w:rsid w:val="00954538"/>
    <w:rsid w:val="00C82B49"/>
    <w:rsid w:val="00F156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7327</Words>
  <Characters>40300</Characters>
  <Application>Microsoft Macintosh Word</Application>
  <DocSecurity>0</DocSecurity>
  <Lines>335</Lines>
  <Paragraphs>95</Paragraphs>
  <ScaleCrop>false</ScaleCrop>
  <LinksUpToDate>false</LinksUpToDate>
  <CharactersWithSpaces>47532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2021-09-17T14:16:00Z</dcterms:created>
  <dcterms:modified xsi:type="dcterms:W3CDTF">2021-10-12T23:03:00Z</dcterms:modified>
</cp:coreProperties>
</file>